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CEE72">
      <w:pPr>
        <w:jc w:val="center"/>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甘州区整区推进美丽乡村建设工作方案</w:t>
      </w:r>
    </w:p>
    <w:p w14:paraId="7F098B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p>
    <w:p w14:paraId="122FD1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为贯彻落实《中共中央国务院关于全面推进美丽中国建设的意见》《生态环境部关于建设美丽中国先行区的实施意见》《中共甘肃省委 甘肃省人民政府关于全面推进美丽甘肃建设的实施意见》《甘肃省整县推进美丽乡村建设工作方案》《张掖市整县推进美丽乡村建设工作方案》《中共甘州区委农村工作领导小组办公室关于集中开展农村人居环境整治提升的通知》精神，全面加强我区农业农村生态环境保护，实施整区推进美丽乡村建设行动，制定本工作方案。</w:t>
      </w:r>
    </w:p>
    <w:p w14:paraId="4D8E07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一、主要目标</w:t>
      </w:r>
    </w:p>
    <w:p w14:paraId="4C7852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根据《整区推进美丽乡村建设指标体系》要求，全面落实15项二级指标，自2026年启动建设至2028年全面实现美丽乡村基本建成目标，并同步完成美丽乡村先行区的创建与申报工作。</w:t>
      </w:r>
    </w:p>
    <w:p w14:paraId="53901B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二、重点工作任务</w:t>
      </w:r>
    </w:p>
    <w:p w14:paraId="45369DD3">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Fonts w:hint="eastAsia" w:ascii="楷体_GB2312" w:hAnsi="Times New Roman" w:eastAsia="楷体_GB2312" w:cs="Times New Roman"/>
          <w:b/>
          <w:color w:val="auto"/>
          <w:kern w:val="0"/>
          <w:sz w:val="32"/>
          <w:szCs w:val="32"/>
          <w:lang w:val="en-US" w:eastAsia="zh-CN"/>
        </w:rPr>
      </w:pPr>
      <w:r>
        <w:rPr>
          <w:rFonts w:hint="eastAsia" w:ascii="楷体_GB2312" w:hAnsi="Times New Roman" w:eastAsia="楷体_GB2312" w:cs="Times New Roman"/>
          <w:b/>
          <w:color w:val="auto"/>
          <w:kern w:val="0"/>
          <w:sz w:val="32"/>
          <w:szCs w:val="32"/>
          <w:lang w:val="en-US" w:eastAsia="zh-CN"/>
        </w:rPr>
        <w:t>（一）持续提升农村生态环境质量</w:t>
      </w:r>
    </w:p>
    <w:p w14:paraId="3D172C83">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1.集中开展农村环境整治提升。</w:t>
      </w:r>
      <w:r>
        <w:rPr>
          <w:rFonts w:hint="eastAsia" w:ascii="仿宋_GB2312" w:hAnsi="仿宋_GB2312" w:eastAsia="仿宋_GB2312" w:cs="仿宋_GB2312"/>
          <w:color w:val="auto"/>
          <w:sz w:val="32"/>
          <w:szCs w:val="32"/>
          <w:lang w:val="en-US" w:eastAsia="zh-CN"/>
        </w:rPr>
        <w:t>全面清理农村危房，对评估鉴定为C、D级的农村危房，引导督促产权人（使用人）限期整改；对符合农村危房（抗震）改造政策的，及时纳入改造范围予以政策资金支持。重点清理村内主干道两侧、公共区域及农户房前屋后的坍塌墙体、破旧圈舍等残垣断壁。整治乱拉乱贴乱占现象，治理空中飞线，清理墙体广告，提升乡村整体形象。积极争取并实施农村环境整治项目，着力解决突出生态环境问题，发挥项目带动作用，确保完成年度整治任务。定期开展环境巡查，对发现问题督促限期整改，持续巩固整治成效。</w:t>
      </w:r>
    </w:p>
    <w:p w14:paraId="728B4F1B">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牵头单位：</w:t>
      </w:r>
      <w:r>
        <w:rPr>
          <w:rFonts w:hint="eastAsia" w:ascii="仿宋_GB2312" w:hAnsi="仿宋_GB2312" w:eastAsia="仿宋_GB2312" w:cs="仿宋_GB2312"/>
          <w:b w:val="0"/>
          <w:bCs w:val="0"/>
          <w:color w:val="auto"/>
          <w:sz w:val="32"/>
          <w:szCs w:val="32"/>
          <w:lang w:val="en-US" w:eastAsia="zh-CN"/>
        </w:rPr>
        <w:t>各乡镇、区住建局</w:t>
      </w:r>
    </w:p>
    <w:p w14:paraId="7CAB5773">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配合单位</w:t>
      </w:r>
      <w:bookmarkStart w:id="0" w:name="_GoBack"/>
      <w:bookmarkEnd w:id="0"/>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区农业农村局、区城市管理局、市生态环境局甘州分局</w:t>
      </w:r>
    </w:p>
    <w:p w14:paraId="0C6DDA41">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baseline"/>
        <w:rPr>
          <w:rFonts w:hint="default" w:ascii="仿宋_GB2312" w:hAnsi="仿宋_GB2312" w:eastAsia="仿宋_GB2312" w:cs="仿宋_GB2312"/>
          <w:color w:val="auto"/>
          <w:sz w:val="32"/>
          <w:szCs w:val="32"/>
          <w:lang w:val="en-US" w:eastAsia="zh-CN"/>
        </w:rPr>
      </w:pPr>
      <w:r>
        <w:rPr>
          <w:rFonts w:hint="eastAsia" w:ascii="仿宋_GB2312" w:hAnsi="Times New Roman" w:eastAsia="仿宋_GB2312" w:cs="Times New Roman"/>
          <w:b/>
          <w:color w:val="auto"/>
          <w:kern w:val="0"/>
          <w:sz w:val="32"/>
          <w:szCs w:val="32"/>
          <w:lang w:val="en-US" w:eastAsia="zh-CN"/>
        </w:rPr>
        <w:t>2.持续深化农村生活污水治理工作。</w:t>
      </w:r>
      <w:r>
        <w:rPr>
          <w:rFonts w:hint="eastAsia" w:ascii="仿宋_GB2312" w:hAnsi="Times New Roman" w:eastAsia="仿宋_GB2312" w:cs="Times New Roman"/>
          <w:b w:val="0"/>
          <w:bCs/>
          <w:color w:val="auto"/>
          <w:kern w:val="0"/>
          <w:sz w:val="32"/>
          <w:szCs w:val="32"/>
          <w:lang w:val="en-US" w:eastAsia="zh-CN"/>
        </w:rPr>
        <w:t>推进</w:t>
      </w:r>
      <w:r>
        <w:rPr>
          <w:rFonts w:ascii="仿宋_GB2312" w:hAnsi="宋体" w:eastAsia="仿宋_GB2312" w:cs="仿宋_GB2312"/>
          <w:i w:val="0"/>
          <w:iCs w:val="0"/>
          <w:caps w:val="0"/>
          <w:color w:val="auto"/>
          <w:spacing w:val="0"/>
          <w:sz w:val="31"/>
          <w:szCs w:val="31"/>
          <w:shd w:val="clear" w:fill="FFFFFF"/>
        </w:rPr>
        <w:t>农村厕所革命与生活污水治理有机衔接，</w:t>
      </w:r>
      <w:r>
        <w:rPr>
          <w:rFonts w:hint="eastAsia" w:ascii="仿宋_GB2312" w:hAnsi="宋体" w:eastAsia="仿宋_GB2312" w:cs="仿宋_GB2312"/>
          <w:i w:val="0"/>
          <w:iCs w:val="0"/>
          <w:caps w:val="0"/>
          <w:color w:val="auto"/>
          <w:spacing w:val="0"/>
          <w:sz w:val="31"/>
          <w:szCs w:val="31"/>
          <w:u w:val="none"/>
          <w:shd w:val="clear" w:fill="FFFFFF"/>
          <w:lang w:val="en-US" w:eastAsia="zh-CN"/>
        </w:rPr>
        <w:t>因地制宜采取</w:t>
      </w:r>
      <w:r>
        <w:rPr>
          <w:rFonts w:ascii="仿宋_GB2312" w:hAnsi="宋体" w:eastAsia="仿宋_GB2312" w:cs="仿宋_GB2312"/>
          <w:i w:val="0"/>
          <w:iCs w:val="0"/>
          <w:caps w:val="0"/>
          <w:color w:val="auto"/>
          <w:spacing w:val="0"/>
          <w:sz w:val="31"/>
          <w:szCs w:val="31"/>
          <w:u w:val="none"/>
          <w:shd w:val="clear" w:fill="FFFFFF"/>
        </w:rPr>
        <w:t>粪污分散处理、集中处理</w:t>
      </w:r>
      <w:r>
        <w:rPr>
          <w:rFonts w:hint="eastAsia" w:ascii="仿宋_GB2312" w:hAnsi="宋体" w:eastAsia="仿宋_GB2312" w:cs="仿宋_GB2312"/>
          <w:i w:val="0"/>
          <w:iCs w:val="0"/>
          <w:caps w:val="0"/>
          <w:color w:val="auto"/>
          <w:spacing w:val="0"/>
          <w:sz w:val="31"/>
          <w:szCs w:val="31"/>
          <w:u w:val="none"/>
          <w:shd w:val="clear" w:fill="FFFFFF"/>
          <w:lang w:val="en-US" w:eastAsia="zh-CN"/>
        </w:rPr>
        <w:t>或</w:t>
      </w:r>
      <w:r>
        <w:rPr>
          <w:rFonts w:ascii="仿宋_GB2312" w:hAnsi="宋体" w:eastAsia="仿宋_GB2312" w:cs="仿宋_GB2312"/>
          <w:i w:val="0"/>
          <w:iCs w:val="0"/>
          <w:caps w:val="0"/>
          <w:color w:val="auto"/>
          <w:spacing w:val="0"/>
          <w:sz w:val="31"/>
          <w:szCs w:val="31"/>
          <w:u w:val="none"/>
          <w:shd w:val="clear" w:fill="FFFFFF"/>
        </w:rPr>
        <w:t>纳入管网</w:t>
      </w:r>
      <w:r>
        <w:rPr>
          <w:rFonts w:hint="eastAsia" w:ascii="仿宋_GB2312" w:hAnsi="宋体" w:eastAsia="仿宋_GB2312" w:cs="仿宋_GB2312"/>
          <w:i w:val="0"/>
          <w:iCs w:val="0"/>
          <w:caps w:val="0"/>
          <w:color w:val="auto"/>
          <w:spacing w:val="0"/>
          <w:sz w:val="31"/>
          <w:szCs w:val="31"/>
          <w:u w:val="none"/>
          <w:shd w:val="clear" w:fill="FFFFFF"/>
          <w:lang w:val="en-US" w:eastAsia="zh-CN"/>
        </w:rPr>
        <w:t>等方式</w:t>
      </w:r>
      <w:r>
        <w:rPr>
          <w:rFonts w:ascii="仿宋_GB2312" w:hAnsi="宋体" w:eastAsia="仿宋_GB2312" w:cs="仿宋_GB2312"/>
          <w:i w:val="0"/>
          <w:iCs w:val="0"/>
          <w:caps w:val="0"/>
          <w:color w:val="auto"/>
          <w:spacing w:val="0"/>
          <w:sz w:val="31"/>
          <w:szCs w:val="31"/>
          <w:u w:val="none"/>
          <w:shd w:val="clear" w:fill="FFFFFF"/>
        </w:rPr>
        <w:t>，</w:t>
      </w:r>
      <w:r>
        <w:rPr>
          <w:rFonts w:hint="eastAsia" w:ascii="仿宋_GB2312" w:hAnsi="宋体" w:eastAsia="仿宋_GB2312" w:cs="仿宋_GB2312"/>
          <w:i w:val="0"/>
          <w:iCs w:val="0"/>
          <w:caps w:val="0"/>
          <w:color w:val="auto"/>
          <w:spacing w:val="0"/>
          <w:sz w:val="31"/>
          <w:szCs w:val="31"/>
          <w:u w:val="none"/>
          <w:shd w:val="clear" w:fill="FFFFFF"/>
          <w:lang w:val="en-US" w:eastAsia="zh-CN"/>
        </w:rPr>
        <w:t>促进就近就地资源化利用</w:t>
      </w:r>
      <w:r>
        <w:rPr>
          <w:rFonts w:ascii="仿宋_GB2312" w:hAnsi="宋体" w:eastAsia="仿宋_GB2312" w:cs="仿宋_GB2312"/>
          <w:i w:val="0"/>
          <w:iCs w:val="0"/>
          <w:caps w:val="0"/>
          <w:color w:val="auto"/>
          <w:spacing w:val="0"/>
          <w:sz w:val="31"/>
          <w:szCs w:val="31"/>
          <w:u w:val="none"/>
          <w:shd w:val="clear" w:fill="FFFFFF"/>
        </w:rPr>
        <w:t>。</w:t>
      </w:r>
      <w:r>
        <w:rPr>
          <w:rFonts w:hint="eastAsia" w:ascii="仿宋_GB2312" w:hAnsi="仿宋_GB2312" w:eastAsia="仿宋_GB2312" w:cs="仿宋_GB2312"/>
          <w:color w:val="auto"/>
          <w:sz w:val="32"/>
          <w:szCs w:val="32"/>
          <w:lang w:val="en-US" w:eastAsia="zh-CN"/>
        </w:rPr>
        <w:t>统筹推进生活污水、畜禽养殖、水产养殖及农业面源污染协同治理，</w:t>
      </w:r>
      <w:r>
        <w:rPr>
          <w:rFonts w:hint="eastAsia" w:ascii="仿宋_GB2312" w:hAnsi="Times New Roman" w:eastAsia="仿宋_GB2312" w:cs="Times New Roman"/>
          <w:b w:val="0"/>
          <w:bCs/>
          <w:color w:val="auto"/>
          <w:kern w:val="0"/>
          <w:sz w:val="32"/>
          <w:szCs w:val="32"/>
          <w:lang w:val="en-US" w:eastAsia="zh-CN"/>
        </w:rPr>
        <w:t>严禁污水直排河湖、渗坑及耕地。加强农村生活污水处理设施及氧化塘的运行维护，</w:t>
      </w:r>
      <w:r>
        <w:rPr>
          <w:rFonts w:hint="eastAsia" w:ascii="仿宋_GB2312" w:hAnsi="仿宋_GB2312" w:eastAsia="仿宋_GB2312" w:cs="仿宋_GB2312"/>
          <w:color w:val="auto"/>
          <w:sz w:val="32"/>
          <w:szCs w:val="32"/>
          <w:lang w:val="en-US" w:eastAsia="zh-CN"/>
        </w:rPr>
        <w:t>以设计规模100吨/日及以上的污水处理设施为重点对象，定期核查站点运行情况和氧化塘状况，确保已建成设施正常运行，氧化塘无沤积发臭现象，同时，加强农村污水处理设施第三方运营维护的资金保障。进一步健全以河湖长制为核心的乡村河湖管护机制，巩固治理成果，</w:t>
      </w:r>
      <w:r>
        <w:rPr>
          <w:rFonts w:hint="eastAsia" w:ascii="仿宋_GB2312" w:hAnsi="Times New Roman" w:eastAsia="仿宋_GB2312" w:cs="Times New Roman"/>
          <w:b w:val="0"/>
          <w:bCs/>
          <w:color w:val="auto"/>
          <w:kern w:val="0"/>
          <w:sz w:val="32"/>
          <w:szCs w:val="32"/>
          <w:lang w:val="en-US" w:eastAsia="zh-CN"/>
        </w:rPr>
        <w:t>确保全区无农村黑臭水体</w:t>
      </w:r>
      <w:r>
        <w:rPr>
          <w:rFonts w:hint="eastAsia" w:ascii="仿宋_GB2312" w:hAnsi="仿宋_GB2312" w:eastAsia="仿宋_GB2312" w:cs="仿宋_GB2312"/>
          <w:color w:val="auto"/>
          <w:sz w:val="32"/>
          <w:szCs w:val="32"/>
          <w:lang w:val="en-US" w:eastAsia="zh-CN"/>
        </w:rPr>
        <w:t>。力争到2026年实现农村生活污水治理（管控）率80%的目标，并在此基础上稳步提升，确保2027年达到82%，2028年达到85%，同时乡村河湖长长效管护机制得到有效落实。</w:t>
      </w:r>
    </w:p>
    <w:p w14:paraId="469753ED">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baseline"/>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牵头单位：</w:t>
      </w:r>
      <w:r>
        <w:rPr>
          <w:rFonts w:hint="eastAsia" w:ascii="仿宋_GB2312" w:hAnsi="仿宋_GB2312" w:eastAsia="仿宋_GB2312" w:cs="仿宋_GB2312"/>
          <w:b w:val="0"/>
          <w:bCs w:val="0"/>
          <w:color w:val="auto"/>
          <w:sz w:val="32"/>
          <w:szCs w:val="32"/>
          <w:lang w:val="en-US" w:eastAsia="zh-CN"/>
        </w:rPr>
        <w:t>各乡镇、市生态环境局甘州分局</w:t>
      </w:r>
    </w:p>
    <w:p w14:paraId="1D5978EF">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baseline"/>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配合单位：</w:t>
      </w:r>
      <w:r>
        <w:rPr>
          <w:rFonts w:hint="eastAsia" w:ascii="仿宋_GB2312" w:hAnsi="仿宋_GB2312" w:eastAsia="仿宋_GB2312" w:cs="仿宋_GB2312"/>
          <w:b w:val="0"/>
          <w:bCs w:val="0"/>
          <w:color w:val="auto"/>
          <w:sz w:val="32"/>
          <w:szCs w:val="32"/>
          <w:lang w:val="en-US" w:eastAsia="zh-CN"/>
        </w:rPr>
        <w:t>区住建局、区农业农村局、区水务局、区财政局、区水务公司</w:t>
      </w:r>
    </w:p>
    <w:p w14:paraId="3688917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60" w:lineRule="exact"/>
        <w:ind w:right="0" w:rightChars="0" w:firstLine="643" w:firstLineChars="200"/>
        <w:jc w:val="left"/>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3.加快推进农村垃圾治理。</w:t>
      </w:r>
      <w:r>
        <w:rPr>
          <w:rFonts w:hint="eastAsia" w:ascii="仿宋_GB2312" w:hAnsi="仿宋_GB2312" w:eastAsia="仿宋_GB2312" w:cs="仿宋_GB2312"/>
          <w:color w:val="auto"/>
          <w:sz w:val="32"/>
          <w:szCs w:val="32"/>
          <w:lang w:val="en-US" w:eastAsia="zh-CN"/>
        </w:rPr>
        <w:t>加快完善“户集中、村收集、乡镇转运、区处理”的生活垃圾收运处置体系，配强队伍与设施，实现农村生活垃圾应收尽收。科学规划收集站点布局、容量与收运频次，加强日常消杀与维护管理，便利群众投放的同时确保卫生整洁。建立常态化巡查机制，将收集点、转运站、处置设施及河湖沿岸等重点区域纳入日常巡查范围，保障收运处置体系规范高效运行。动员群众清理废旧农膜、秸秆尾菜、农药包装等农业废弃物，整治侵占公共区域的土堆、粪堆、柴草堆，杜绝粪污直排、垃圾乱堆。引导群众整理房前屋后杂物，落实病死畜禽无害化处理，提升垃圾治理实效。强化资金统筹，严格执行《甘州区农村生活垃圾清运费补助办法》（甘区政办〔2018〕63号），提高资金使用效益，保障工作长效开展。到2026年，实现全区农村生活垃圾有效治理，并于2027年至2028年持续巩固，常态化保持治理成效。</w:t>
      </w:r>
    </w:p>
    <w:p w14:paraId="3178882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60" w:lineRule="exact"/>
        <w:ind w:right="0" w:rightChars="0" w:firstLine="643" w:firstLineChars="20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牵头单位：</w:t>
      </w:r>
      <w:r>
        <w:rPr>
          <w:rFonts w:hint="eastAsia" w:ascii="仿宋_GB2312" w:hAnsi="仿宋_GB2312" w:eastAsia="仿宋_GB2312" w:cs="仿宋_GB2312"/>
          <w:b w:val="0"/>
          <w:bCs w:val="0"/>
          <w:color w:val="auto"/>
          <w:sz w:val="32"/>
          <w:szCs w:val="32"/>
          <w:lang w:val="en-US" w:eastAsia="zh-CN"/>
        </w:rPr>
        <w:t>各乡镇、区城市管理局</w:t>
      </w:r>
    </w:p>
    <w:p w14:paraId="31F6BC2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60" w:lineRule="exact"/>
        <w:ind w:right="0" w:rightChars="0" w:firstLine="643" w:firstLineChars="20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配合单位：</w:t>
      </w:r>
      <w:r>
        <w:rPr>
          <w:rFonts w:hint="eastAsia" w:ascii="仿宋_GB2312" w:hAnsi="仿宋_GB2312" w:eastAsia="仿宋_GB2312" w:cs="仿宋_GB2312"/>
          <w:b w:val="0"/>
          <w:bCs w:val="0"/>
          <w:color w:val="auto"/>
          <w:sz w:val="32"/>
          <w:szCs w:val="32"/>
          <w:lang w:val="en-US" w:eastAsia="zh-CN"/>
        </w:rPr>
        <w:t>区农业农村局、区财政局</w:t>
      </w:r>
    </w:p>
    <w:p w14:paraId="209E682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60" w:lineRule="exact"/>
        <w:ind w:right="0" w:rightChars="0" w:firstLine="643" w:firstLineChars="200"/>
        <w:jc w:val="left"/>
        <w:rPr>
          <w:rFonts w:hint="eastAsia" w:ascii="仿宋_GB2312" w:hAnsi="仿宋_GB2312" w:eastAsia="仿宋_GB2312" w:cs="仿宋_GB2312"/>
          <w:color w:val="auto"/>
          <w:sz w:val="32"/>
          <w:szCs w:val="32"/>
          <w:lang w:val="en-US" w:eastAsia="zh-CN"/>
        </w:rPr>
      </w:pPr>
      <w:r>
        <w:rPr>
          <w:rFonts w:hint="eastAsia" w:ascii="仿宋_GB2312" w:hAnsi="Times New Roman" w:eastAsia="仿宋_GB2312" w:cs="Times New Roman"/>
          <w:b/>
          <w:color w:val="auto"/>
          <w:kern w:val="0"/>
          <w:sz w:val="32"/>
          <w:szCs w:val="32"/>
          <w:lang w:val="en-US" w:eastAsia="zh-CN"/>
        </w:rPr>
        <w:t>4.综合治理乡村水土流失。</w:t>
      </w:r>
      <w:r>
        <w:rPr>
          <w:rFonts w:hint="eastAsia" w:ascii="仿宋_GB2312" w:hAnsi="仿宋_GB2312" w:eastAsia="仿宋_GB2312" w:cs="仿宋_GB2312"/>
          <w:color w:val="auto"/>
          <w:sz w:val="32"/>
          <w:szCs w:val="32"/>
          <w:lang w:val="en-US" w:eastAsia="zh-CN"/>
        </w:rPr>
        <w:t>以黑河（甘州段）为重点，推进</w:t>
      </w:r>
      <w:r>
        <w:rPr>
          <w:rFonts w:hint="eastAsia" w:ascii="仿宋_GB2312" w:hAnsi="仿宋_GB2312" w:eastAsia="仿宋_GB2312" w:cs="仿宋_GB2312"/>
          <w:color w:val="auto"/>
          <w:kern w:val="2"/>
          <w:sz w:val="32"/>
          <w:szCs w:val="32"/>
          <w:lang w:val="en-US" w:eastAsia="zh-CN" w:bidi="ar-SA"/>
        </w:rPr>
        <w:t>流域统一规划与管理，强化水域、岸线、林地协同管控，构建连续完整的生态廊道</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kern w:val="2"/>
          <w:sz w:val="32"/>
          <w:szCs w:val="32"/>
          <w:lang w:val="en-US" w:eastAsia="zh-CN" w:bidi="ar-SA"/>
        </w:rPr>
        <w:t>针对荒山荒坡、河道沿岸、农田周边等重点区域，科学实施水土保持林种植、沟道整治等工程，提升水土涵养和土壤保持能力。</w:t>
      </w:r>
      <w:r>
        <w:rPr>
          <w:rFonts w:hint="eastAsia" w:ascii="仿宋_GB2312" w:hAnsi="仿宋_GB2312" w:eastAsia="仿宋_GB2312" w:cs="仿宋_GB2312"/>
          <w:color w:val="auto"/>
          <w:sz w:val="32"/>
          <w:szCs w:val="32"/>
          <w:lang w:val="en-US" w:eastAsia="zh-CN"/>
        </w:rPr>
        <w:t>结合高标准农田建设，完善农田灌排体系，</w:t>
      </w:r>
      <w:r>
        <w:rPr>
          <w:rFonts w:hint="eastAsia" w:ascii="仿宋_GB2312" w:hAnsi="仿宋_GB2312" w:eastAsia="仿宋_GB2312" w:cs="仿宋_GB2312"/>
          <w:color w:val="auto"/>
          <w:kern w:val="2"/>
          <w:sz w:val="32"/>
          <w:szCs w:val="32"/>
          <w:lang w:val="en-US" w:eastAsia="zh-CN" w:bidi="ar-SA"/>
        </w:rPr>
        <w:t>增强耕地保水保肥能力。推进乡村植树造林、种草复绿工作，保护原生植被，提升乡村生态植被覆盖率。协同乡村产业发展，推广生态农业、林下经济等模式，规范生产建设活动，严控陡坡开荒、乱砍滥伐等行为。</w:t>
      </w:r>
      <w:r>
        <w:rPr>
          <w:rFonts w:hint="eastAsia" w:ascii="仿宋_GB2312" w:hAnsi="仿宋_GB2312" w:eastAsia="仿宋_GB2312" w:cs="仿宋_GB2312"/>
          <w:color w:val="auto"/>
          <w:sz w:val="32"/>
          <w:szCs w:val="32"/>
          <w:lang w:val="en-US" w:eastAsia="zh-CN"/>
        </w:rPr>
        <w:t>确保2026年至2028年期间，甘州区水土保持率达到省级分解到县级的水土保持率目标值。</w:t>
      </w:r>
    </w:p>
    <w:p w14:paraId="46AC91E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60" w:lineRule="exact"/>
        <w:ind w:right="0" w:rightChars="0" w:firstLine="643" w:firstLineChars="20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牵头单位：</w:t>
      </w:r>
      <w:r>
        <w:rPr>
          <w:rFonts w:hint="eastAsia" w:ascii="仿宋_GB2312" w:hAnsi="仿宋_GB2312" w:eastAsia="仿宋_GB2312" w:cs="仿宋_GB2312"/>
          <w:b w:val="0"/>
          <w:bCs w:val="0"/>
          <w:color w:val="auto"/>
          <w:sz w:val="32"/>
          <w:szCs w:val="32"/>
          <w:lang w:val="en-US" w:eastAsia="zh-CN"/>
        </w:rPr>
        <w:t>区林草局</w:t>
      </w:r>
    </w:p>
    <w:p w14:paraId="0701ED7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60" w:lineRule="exact"/>
        <w:ind w:right="0" w:rightChars="0" w:firstLine="643" w:firstLineChars="200"/>
        <w:jc w:val="left"/>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配合单位：</w:t>
      </w:r>
      <w:r>
        <w:rPr>
          <w:rFonts w:hint="eastAsia" w:ascii="仿宋_GB2312" w:hAnsi="仿宋_GB2312" w:eastAsia="仿宋_GB2312" w:cs="仿宋_GB2312"/>
          <w:b w:val="0"/>
          <w:bCs w:val="0"/>
          <w:color w:val="auto"/>
          <w:kern w:val="2"/>
          <w:sz w:val="32"/>
          <w:szCs w:val="32"/>
          <w:shd w:val="clear"/>
          <w:lang w:val="en-US" w:eastAsia="zh-CN" w:bidi="ar-SA"/>
        </w:rPr>
        <w:t>各乡镇、</w:t>
      </w:r>
      <w:r>
        <w:rPr>
          <w:rFonts w:hint="eastAsia" w:ascii="仿宋_GB2312" w:hAnsi="仿宋_GB2312" w:eastAsia="仿宋_GB2312" w:cs="仿宋_GB2312"/>
          <w:b w:val="0"/>
          <w:bCs w:val="0"/>
          <w:color w:val="auto"/>
          <w:sz w:val="32"/>
          <w:szCs w:val="32"/>
          <w:lang w:val="en-US" w:eastAsia="zh-CN"/>
        </w:rPr>
        <w:t>区水务局、市自然资源局甘州分局、区农业农村局</w:t>
      </w:r>
    </w:p>
    <w:p w14:paraId="67F04AE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5.长效保护乡村自然生态。</w:t>
      </w:r>
      <w:r>
        <w:rPr>
          <w:rFonts w:hint="eastAsia" w:ascii="仿宋_GB2312" w:hAnsi="仿宋_GB2312" w:eastAsia="仿宋_GB2312" w:cs="仿宋_GB2312"/>
          <w:color w:val="auto"/>
          <w:sz w:val="32"/>
          <w:szCs w:val="32"/>
          <w:lang w:val="en-US" w:eastAsia="zh-CN"/>
        </w:rPr>
        <w:t>加强生态保护红线管理，严格落实《甘肃省生态保护红线管理实施细则》，规范对有限人为活动的认定及管控。根据村庄地形地貌特征，加强对原生植被、自然景观、河湖湿地等自然生境的整体保护。严禁非法采挖、移植天然大树和古树名木。加强重点生态系统、珍稀物种及生物遗传资源的系统保护。</w:t>
      </w:r>
    </w:p>
    <w:p w14:paraId="572C9E0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baseline"/>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牵头单位：</w:t>
      </w:r>
      <w:r>
        <w:rPr>
          <w:rFonts w:hint="eastAsia" w:ascii="仿宋_GB2312" w:hAnsi="仿宋_GB2312" w:eastAsia="仿宋_GB2312" w:cs="仿宋_GB2312"/>
          <w:b w:val="0"/>
          <w:bCs w:val="0"/>
          <w:color w:val="auto"/>
          <w:sz w:val="32"/>
          <w:szCs w:val="32"/>
          <w:lang w:val="en-US" w:eastAsia="zh-CN"/>
        </w:rPr>
        <w:t>市自然资源局甘州分局</w:t>
      </w:r>
    </w:p>
    <w:p w14:paraId="09D5EC1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baseline"/>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配合单位：</w:t>
      </w:r>
      <w:r>
        <w:rPr>
          <w:rFonts w:hint="eastAsia" w:ascii="仿宋_GB2312" w:hAnsi="仿宋_GB2312" w:eastAsia="仿宋_GB2312" w:cs="仿宋_GB2312"/>
          <w:b w:val="0"/>
          <w:bCs w:val="0"/>
          <w:color w:val="auto"/>
          <w:sz w:val="32"/>
          <w:szCs w:val="32"/>
          <w:lang w:val="en-US" w:eastAsia="zh-CN"/>
        </w:rPr>
        <w:t>各乡镇、区林草局、区湿地局、区水务局、市生态环境局甘州分局</w:t>
      </w:r>
    </w:p>
    <w:p w14:paraId="340B7277">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Fonts w:hint="default" w:ascii="楷体_GB2312" w:hAnsi="Times New Roman" w:eastAsia="楷体_GB2312" w:cs="Times New Roman"/>
          <w:b/>
          <w:color w:val="auto"/>
          <w:kern w:val="0"/>
          <w:sz w:val="32"/>
          <w:szCs w:val="32"/>
          <w:lang w:val="en-US" w:eastAsia="zh-CN"/>
        </w:rPr>
      </w:pPr>
      <w:r>
        <w:rPr>
          <w:rFonts w:hint="eastAsia" w:ascii="楷体_GB2312" w:hAnsi="Times New Roman" w:eastAsia="楷体_GB2312" w:cs="Times New Roman"/>
          <w:b/>
          <w:color w:val="auto"/>
          <w:kern w:val="0"/>
          <w:sz w:val="32"/>
          <w:szCs w:val="32"/>
          <w:lang w:val="en-US" w:eastAsia="zh-CN"/>
        </w:rPr>
        <w:t>（二）大力推进农业绿色发展</w:t>
      </w:r>
    </w:p>
    <w:p w14:paraId="0102C30B">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60" w:lineRule="exact"/>
        <w:ind w:left="0" w:right="0" w:firstLine="643" w:firstLineChars="200"/>
        <w:jc w:val="left"/>
        <w:rPr>
          <w:rFonts w:hint="eastAsia" w:ascii="仿宋_GB2312" w:hAnsi="仿宋_GB2312" w:eastAsia="仿宋_GB2312" w:cs="仿宋_GB2312"/>
          <w:color w:val="auto"/>
          <w:sz w:val="32"/>
          <w:szCs w:val="32"/>
          <w:lang w:val="en-US" w:eastAsia="zh-CN"/>
        </w:rPr>
      </w:pPr>
      <w:r>
        <w:rPr>
          <w:rFonts w:hint="eastAsia" w:ascii="仿宋_GB2312" w:hAnsi="Times New Roman" w:eastAsia="仿宋_GB2312" w:cs="Times New Roman"/>
          <w:b/>
          <w:color w:val="auto"/>
          <w:kern w:val="0"/>
          <w:sz w:val="32"/>
          <w:szCs w:val="32"/>
          <w:lang w:val="en-US" w:eastAsia="zh-CN"/>
        </w:rPr>
        <w:t>6.强化耕地资源保护。</w:t>
      </w:r>
      <w:r>
        <w:rPr>
          <w:rFonts w:hint="eastAsia" w:ascii="仿宋_GB2312" w:hAnsi="仿宋_GB2312" w:eastAsia="仿宋_GB2312" w:cs="仿宋_GB2312"/>
          <w:color w:val="auto"/>
          <w:sz w:val="32"/>
          <w:szCs w:val="32"/>
          <w:lang w:val="en-US" w:eastAsia="zh-CN"/>
        </w:rPr>
        <w:t>严守耕地红线，将耕地和永久基本农田保护作为重点任务，严格落实国土空间管控目标与要求。健全巡查监管体系，依托国土空间基础信息平台，整合区、乡、村三级监管力量，对违法违规占用耕地、改变用途等行为早发现、早制止、严查处。落实耕地保护与占补平衡相关政策，稳步提升耕地质量。统筹全区各类用地需求，优化项目布局，强化建设项目用地预审和规划审查，确保建设项目不占或少占耕地。</w:t>
      </w:r>
    </w:p>
    <w:p w14:paraId="42C97175">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60" w:lineRule="exact"/>
        <w:ind w:left="0" w:right="0" w:firstLine="643" w:firstLineChars="200"/>
        <w:jc w:val="left"/>
        <w:rPr>
          <w:rFonts w:hint="eastAsia" w:ascii="仿宋_GB2312" w:hAnsi="Times New Roman" w:eastAsia="仿宋_GB2312" w:cs="Times New Roman"/>
          <w:b w:val="0"/>
          <w:bCs/>
          <w:color w:val="auto"/>
          <w:kern w:val="0"/>
          <w:sz w:val="32"/>
          <w:szCs w:val="32"/>
          <w:lang w:val="en-US" w:eastAsia="zh-CN"/>
        </w:rPr>
      </w:pPr>
      <w:r>
        <w:rPr>
          <w:rFonts w:hint="eastAsia" w:ascii="仿宋_GB2312" w:hAnsi="Times New Roman" w:eastAsia="仿宋_GB2312" w:cs="Times New Roman"/>
          <w:b/>
          <w:color w:val="auto"/>
          <w:kern w:val="0"/>
          <w:sz w:val="32"/>
          <w:szCs w:val="32"/>
          <w:lang w:val="en-US" w:eastAsia="zh-CN"/>
        </w:rPr>
        <w:t>牵头单位：</w:t>
      </w:r>
      <w:r>
        <w:rPr>
          <w:rFonts w:hint="eastAsia" w:ascii="仿宋_GB2312" w:hAnsi="Times New Roman" w:eastAsia="仿宋_GB2312" w:cs="Times New Roman"/>
          <w:b w:val="0"/>
          <w:bCs/>
          <w:color w:val="auto"/>
          <w:kern w:val="0"/>
          <w:sz w:val="32"/>
          <w:szCs w:val="32"/>
          <w:lang w:val="en-US" w:eastAsia="zh-CN"/>
        </w:rPr>
        <w:t>市自然资源局甘州分局</w:t>
      </w:r>
    </w:p>
    <w:p w14:paraId="0B115EA1">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60" w:lineRule="exact"/>
        <w:ind w:left="0" w:right="0" w:firstLine="643" w:firstLineChars="200"/>
        <w:jc w:val="left"/>
        <w:rPr>
          <w:rFonts w:hint="default" w:ascii="仿宋_GB2312" w:hAnsi="Times New Roman" w:eastAsia="仿宋_GB2312" w:cs="Times New Roman"/>
          <w:b w:val="0"/>
          <w:bCs/>
          <w:color w:val="auto"/>
          <w:kern w:val="0"/>
          <w:sz w:val="32"/>
          <w:szCs w:val="32"/>
          <w:lang w:val="en-US" w:eastAsia="zh-CN"/>
        </w:rPr>
      </w:pPr>
      <w:r>
        <w:rPr>
          <w:rFonts w:hint="eastAsia" w:ascii="仿宋_GB2312" w:hAnsi="Times New Roman" w:eastAsia="仿宋_GB2312" w:cs="Times New Roman"/>
          <w:b/>
          <w:color w:val="auto"/>
          <w:kern w:val="0"/>
          <w:sz w:val="32"/>
          <w:szCs w:val="32"/>
          <w:lang w:val="en-US" w:eastAsia="zh-CN"/>
        </w:rPr>
        <w:t>配合单位：</w:t>
      </w:r>
      <w:r>
        <w:rPr>
          <w:rFonts w:hint="eastAsia" w:ascii="仿宋_GB2312" w:hAnsi="Times New Roman" w:eastAsia="仿宋_GB2312" w:cs="Times New Roman"/>
          <w:b w:val="0"/>
          <w:bCs/>
          <w:color w:val="auto"/>
          <w:kern w:val="0"/>
          <w:sz w:val="32"/>
          <w:szCs w:val="32"/>
          <w:lang w:val="en-US" w:eastAsia="zh-CN"/>
        </w:rPr>
        <w:t>各乡镇、区农业农村局</w:t>
      </w:r>
    </w:p>
    <w:p w14:paraId="34361CE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rPr>
          <w:rFonts w:hint="eastAsia" w:ascii="仿宋_GB2312" w:hAnsi="Times New Roman" w:eastAsia="仿宋_GB2312" w:cs="Times New Roman"/>
          <w:b w:val="0"/>
          <w:bCs/>
          <w:color w:val="auto"/>
          <w:kern w:val="0"/>
          <w:sz w:val="32"/>
          <w:szCs w:val="32"/>
          <w:lang w:val="en-US" w:eastAsia="zh-CN"/>
        </w:rPr>
      </w:pPr>
      <w:r>
        <w:rPr>
          <w:rFonts w:hint="eastAsia" w:ascii="仿宋_GB2312" w:hAnsi="Times New Roman" w:eastAsia="仿宋_GB2312" w:cs="Times New Roman"/>
          <w:b/>
          <w:color w:val="auto"/>
          <w:kern w:val="0"/>
          <w:sz w:val="32"/>
          <w:szCs w:val="32"/>
          <w:lang w:val="en-US" w:eastAsia="zh-CN"/>
        </w:rPr>
        <w:t>7.加强农用地土壤保护。</w:t>
      </w:r>
      <w:r>
        <w:rPr>
          <w:rFonts w:hint="eastAsia" w:ascii="仿宋_GB2312" w:hAnsi="仿宋_GB2312" w:eastAsia="仿宋_GB2312" w:cs="仿宋_GB2312"/>
          <w:color w:val="auto"/>
          <w:sz w:val="32"/>
          <w:szCs w:val="32"/>
          <w:lang w:val="en-US" w:eastAsia="zh-CN"/>
        </w:rPr>
        <w:t>依据辖区耕地质量现状和土壤类型分布，实施耕地有机质提升行动。夯实农户施肥情况调查、地力监测、田间试验等测土配方施肥基础，优化养分投入。合理利用畜禽粪便等有机养分资源，推广有机肥，有机无机复混合肥，增加土壤有机质含量。加强灌溉水质管理，严禁工业和城市污水直接灌溉农田。落实农用地分类管理，动态调整耕地土壤环境质量类别。完成受污染耕地安全利用类和严格管理类调查，定期开展巡查，压实管控责任。严厉打击危险废物非法排放、倾倒、利用、处置等环境违法犯罪行为</w:t>
      </w:r>
      <w:r>
        <w:rPr>
          <w:rFonts w:hint="eastAsia" w:ascii="仿宋_GB2312" w:hAnsi="Times New Roman" w:eastAsia="仿宋_GB2312" w:cs="Times New Roman"/>
          <w:b w:val="0"/>
          <w:bCs/>
          <w:color w:val="auto"/>
          <w:kern w:val="0"/>
          <w:sz w:val="32"/>
          <w:szCs w:val="32"/>
          <w:lang w:val="en-US" w:eastAsia="zh-CN"/>
        </w:rPr>
        <w:t>。确保2026年至2028年期间，耕地土壤有机质含量基本稳定或提高。</w:t>
      </w:r>
    </w:p>
    <w:p w14:paraId="1005484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rPr>
          <w:rFonts w:hint="default" w:ascii="仿宋_GB2312" w:hAnsi="Times New Roman" w:eastAsia="仿宋_GB2312" w:cs="Times New Roman"/>
          <w:b w:val="0"/>
          <w:bCs/>
          <w:color w:val="auto"/>
          <w:kern w:val="0"/>
          <w:sz w:val="32"/>
          <w:szCs w:val="32"/>
          <w:lang w:val="en-US" w:eastAsia="zh-CN"/>
        </w:rPr>
      </w:pPr>
      <w:r>
        <w:rPr>
          <w:rFonts w:hint="eastAsia" w:ascii="仿宋_GB2312" w:hAnsi="Times New Roman" w:eastAsia="仿宋_GB2312" w:cs="Times New Roman"/>
          <w:b/>
          <w:color w:val="auto"/>
          <w:kern w:val="0"/>
          <w:sz w:val="32"/>
          <w:szCs w:val="32"/>
          <w:lang w:val="en-US" w:eastAsia="zh-CN"/>
        </w:rPr>
        <w:t>牵头单位：</w:t>
      </w:r>
      <w:r>
        <w:rPr>
          <w:rFonts w:hint="eastAsia" w:ascii="仿宋_GB2312" w:hAnsi="Times New Roman" w:eastAsia="仿宋_GB2312" w:cs="Times New Roman"/>
          <w:b w:val="0"/>
          <w:bCs/>
          <w:color w:val="auto"/>
          <w:kern w:val="0"/>
          <w:sz w:val="32"/>
          <w:szCs w:val="32"/>
          <w:lang w:val="en-US" w:eastAsia="zh-CN"/>
        </w:rPr>
        <w:t>区农业农村局、市生态环境局甘州分局</w:t>
      </w:r>
    </w:p>
    <w:p w14:paraId="3332DF0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rPr>
          <w:rFonts w:hint="default" w:ascii="仿宋_GB2312" w:hAnsi="Times New Roman" w:eastAsia="仿宋_GB2312" w:cs="Times New Roman"/>
          <w:b w:val="0"/>
          <w:bCs/>
          <w:color w:val="auto"/>
          <w:kern w:val="0"/>
          <w:sz w:val="32"/>
          <w:szCs w:val="32"/>
          <w:lang w:val="en-US" w:eastAsia="zh-CN"/>
        </w:rPr>
      </w:pPr>
      <w:r>
        <w:rPr>
          <w:rFonts w:hint="eastAsia" w:ascii="仿宋_GB2312" w:hAnsi="Times New Roman" w:eastAsia="仿宋_GB2312" w:cs="Times New Roman"/>
          <w:b/>
          <w:color w:val="auto"/>
          <w:kern w:val="0"/>
          <w:sz w:val="32"/>
          <w:szCs w:val="32"/>
          <w:lang w:val="en-US" w:eastAsia="zh-CN"/>
        </w:rPr>
        <w:t>配合单位：</w:t>
      </w:r>
      <w:r>
        <w:rPr>
          <w:rFonts w:hint="eastAsia" w:ascii="仿宋_GB2312" w:hAnsi="Times New Roman" w:eastAsia="仿宋_GB2312" w:cs="Times New Roman"/>
          <w:b w:val="0"/>
          <w:bCs/>
          <w:color w:val="auto"/>
          <w:kern w:val="0"/>
          <w:sz w:val="32"/>
          <w:szCs w:val="32"/>
          <w:lang w:val="en-US" w:eastAsia="zh-CN"/>
        </w:rPr>
        <w:t>各乡镇</w:t>
      </w:r>
    </w:p>
    <w:p w14:paraId="42EEAA8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wordWrap/>
        <w:overflowPunct/>
        <w:topLinePunct w:val="0"/>
        <w:bidi w:val="0"/>
        <w:spacing w:before="0" w:beforeAutospacing="0" w:after="0" w:afterAutospacing="0" w:line="560" w:lineRule="exact"/>
        <w:ind w:right="0" w:rightChars="0" w:firstLine="643" w:firstLineChars="200"/>
        <w:jc w:val="left"/>
        <w:rPr>
          <w:rFonts w:hint="eastAsia" w:ascii="仿宋_GB2312" w:hAnsi="宋体" w:eastAsia="仿宋_GB2312" w:cs="仿宋_GB2312"/>
          <w:i w:val="0"/>
          <w:iCs w:val="0"/>
          <w:caps w:val="0"/>
          <w:color w:val="auto"/>
          <w:spacing w:val="0"/>
          <w:sz w:val="31"/>
          <w:szCs w:val="31"/>
          <w:shd w:val="clear"/>
          <w:lang w:val="en-US" w:eastAsia="zh-CN"/>
        </w:rPr>
      </w:pPr>
      <w:r>
        <w:rPr>
          <w:rFonts w:hint="eastAsia" w:ascii="仿宋_GB2312" w:hAnsi="Times New Roman" w:eastAsia="仿宋_GB2312" w:cs="Times New Roman"/>
          <w:b/>
          <w:color w:val="auto"/>
          <w:kern w:val="0"/>
          <w:sz w:val="32"/>
          <w:szCs w:val="32"/>
          <w:shd w:val="clear"/>
          <w:lang w:val="en-US" w:eastAsia="zh-CN"/>
        </w:rPr>
        <w:t>8.扎实开展畜禽养殖污染防治工作。</w:t>
      </w:r>
      <w:r>
        <w:rPr>
          <w:rFonts w:hint="eastAsia" w:ascii="仿宋_GB2312" w:hAnsi="宋体" w:eastAsia="仿宋_GB2312" w:cs="仿宋_GB2312"/>
          <w:i w:val="0"/>
          <w:iCs w:val="0"/>
          <w:caps w:val="0"/>
          <w:color w:val="auto"/>
          <w:spacing w:val="0"/>
          <w:sz w:val="31"/>
          <w:szCs w:val="31"/>
          <w:shd w:val="clear"/>
          <w:lang w:val="en-US" w:eastAsia="zh-CN"/>
        </w:rPr>
        <w:t>指导新建、改（扩）建畜禽规模养殖场(小区、户)提升粪污资源化利用水平，推广种养结合循环模式和粪污无害化处理技术。积极争取国家畜禽粪污资源化利用项目，对群众反应强烈的恶臭异味等问题开展排查整治，并督促整改。确保畜禽粪污综合利用率稳步达到85%以上，并且属实的重复信访举报每年不超过3起。</w:t>
      </w:r>
    </w:p>
    <w:p w14:paraId="4A2FF62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wordWrap/>
        <w:overflowPunct/>
        <w:topLinePunct w:val="0"/>
        <w:bidi w:val="0"/>
        <w:spacing w:before="0" w:beforeAutospacing="0" w:after="0" w:afterAutospacing="0" w:line="560" w:lineRule="exact"/>
        <w:ind w:right="0" w:rightChars="0" w:firstLine="643" w:firstLineChars="20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牵头单位：</w:t>
      </w:r>
      <w:r>
        <w:rPr>
          <w:rFonts w:hint="eastAsia" w:ascii="仿宋_GB2312" w:hAnsi="仿宋_GB2312" w:eastAsia="仿宋_GB2312" w:cs="仿宋_GB2312"/>
          <w:b w:val="0"/>
          <w:bCs w:val="0"/>
          <w:color w:val="auto"/>
          <w:sz w:val="32"/>
          <w:szCs w:val="32"/>
          <w:lang w:val="en-US" w:eastAsia="zh-CN"/>
        </w:rPr>
        <w:t>区农业农村局</w:t>
      </w:r>
    </w:p>
    <w:p w14:paraId="0FA57AC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wordWrap/>
        <w:overflowPunct/>
        <w:topLinePunct w:val="0"/>
        <w:bidi w:val="0"/>
        <w:spacing w:before="0" w:beforeAutospacing="0" w:after="0" w:afterAutospacing="0" w:line="560" w:lineRule="exact"/>
        <w:ind w:right="0" w:rightChars="0" w:firstLine="643" w:firstLineChars="200"/>
        <w:jc w:val="left"/>
        <w:rPr>
          <w:rFonts w:hint="eastAsia" w:ascii="仿宋_GB2312" w:hAnsi="宋体" w:eastAsia="仿宋_GB2312" w:cs="仿宋_GB2312"/>
          <w:b w:val="0"/>
          <w:bCs w:val="0"/>
          <w:i w:val="0"/>
          <w:iCs w:val="0"/>
          <w:caps w:val="0"/>
          <w:color w:val="auto"/>
          <w:spacing w:val="0"/>
          <w:sz w:val="31"/>
          <w:szCs w:val="31"/>
          <w:shd w:val="clear" w:fill="FFFF00"/>
          <w:lang w:val="en-US" w:eastAsia="zh-CN"/>
        </w:rPr>
      </w:pPr>
      <w:r>
        <w:rPr>
          <w:rFonts w:hint="eastAsia" w:ascii="仿宋_GB2312" w:hAnsi="仿宋_GB2312" w:eastAsia="仿宋_GB2312" w:cs="仿宋_GB2312"/>
          <w:b/>
          <w:bCs/>
          <w:color w:val="auto"/>
          <w:sz w:val="32"/>
          <w:szCs w:val="32"/>
          <w:lang w:val="en-US" w:eastAsia="zh-CN"/>
        </w:rPr>
        <w:t>配合单位：</w:t>
      </w:r>
      <w:r>
        <w:rPr>
          <w:rFonts w:hint="eastAsia" w:ascii="仿宋_GB2312" w:hAnsi="仿宋_GB2312" w:eastAsia="仿宋_GB2312" w:cs="仿宋_GB2312"/>
          <w:b w:val="0"/>
          <w:bCs w:val="0"/>
          <w:color w:val="auto"/>
          <w:sz w:val="32"/>
          <w:szCs w:val="32"/>
          <w:lang w:val="en-US" w:eastAsia="zh-CN"/>
        </w:rPr>
        <w:t>各乡镇、市生态环境局甘州分局</w:t>
      </w:r>
    </w:p>
    <w:p w14:paraId="4141DFD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baseline"/>
        <w:rPr>
          <w:rFonts w:hint="eastAsia" w:ascii="仿宋_GB2312" w:hAnsi="仿宋_GB2312" w:eastAsia="仿宋_GB2312" w:cs="仿宋_GB2312"/>
          <w:color w:val="auto"/>
          <w:sz w:val="32"/>
          <w:szCs w:val="32"/>
          <w:shd w:val="clear"/>
          <w:lang w:val="en-US" w:eastAsia="zh-CN"/>
        </w:rPr>
      </w:pPr>
      <w:r>
        <w:rPr>
          <w:rFonts w:hint="eastAsia" w:ascii="仿宋_GB2312" w:hAnsi="Times New Roman" w:eastAsia="仿宋_GB2312" w:cs="Times New Roman"/>
          <w:b/>
          <w:color w:val="auto"/>
          <w:kern w:val="0"/>
          <w:sz w:val="32"/>
          <w:szCs w:val="32"/>
          <w:lang w:val="en-US" w:eastAsia="zh-CN"/>
        </w:rPr>
        <w:t>9.加强农膜生产使用管控和回收处置。</w:t>
      </w:r>
      <w:r>
        <w:rPr>
          <w:rFonts w:hint="eastAsia" w:ascii="仿宋_GB2312" w:hAnsi="仿宋_GB2312" w:eastAsia="仿宋_GB2312" w:cs="仿宋_GB2312"/>
          <w:color w:val="auto"/>
          <w:sz w:val="32"/>
          <w:szCs w:val="32"/>
          <w:lang w:val="en-US" w:eastAsia="zh-CN"/>
        </w:rPr>
        <w:t>规范农膜生产企业生产经营行为，加强农膜行业管理，确保达标农膜产品供给。强化农膜质量监管，杜绝非标农膜流入市场、进入农田。压实土地租赁人废旧农膜回收主体责任，提高废旧农膜回收处置率。健全“户收集、社监督、村集中”的三级回收网络体系，规范回收网点，实现废旧农膜闭环处置。推广废旧农膜回收机械应用，</w:t>
      </w:r>
      <w:r>
        <w:rPr>
          <w:rFonts w:ascii="仿宋_GB2312" w:hAnsi="宋体" w:eastAsia="仿宋_GB2312" w:cs="仿宋_GB2312"/>
          <w:i w:val="0"/>
          <w:iCs w:val="0"/>
          <w:caps w:val="0"/>
          <w:color w:val="auto"/>
          <w:spacing w:val="0"/>
          <w:sz w:val="31"/>
          <w:szCs w:val="31"/>
          <w:shd w:val="clear" w:fill="FFFFFF"/>
        </w:rPr>
        <w:t>强化农田地膜残留监测评估。</w:t>
      </w:r>
      <w:r>
        <w:rPr>
          <w:rFonts w:hint="eastAsia" w:ascii="仿宋_GB2312" w:hAnsi="仿宋_GB2312" w:eastAsia="仿宋_GB2312" w:cs="仿宋_GB2312"/>
          <w:color w:val="auto"/>
          <w:sz w:val="32"/>
          <w:szCs w:val="32"/>
          <w:shd w:val="clear"/>
          <w:lang w:val="en-US" w:eastAsia="zh-CN"/>
        </w:rPr>
        <w:t>2026年到2028年，农膜处置率稳步提升达到86%、86.5%、87%以上，基本消除违规生产、销售、使用农膜现象，确保每年农膜产品质量省级监督抽查时不合格产品发现率</w:t>
      </w:r>
      <w:r>
        <w:rPr>
          <w:rFonts w:hint="eastAsia" w:ascii="仿宋_GB2312" w:hAnsi="仿宋_GB2312" w:eastAsia="仿宋_GB2312" w:cs="仿宋_GB2312"/>
          <w:snapToGrid w:val="0"/>
          <w:color w:val="auto"/>
          <w:kern w:val="0"/>
          <w:sz w:val="24"/>
          <w:szCs w:val="24"/>
          <w:highlight w:val="none"/>
          <w:lang w:val="en-US" w:eastAsia="zh-CN" w:bidi="ar"/>
        </w:rPr>
        <w:t>≤</w:t>
      </w:r>
      <w:r>
        <w:rPr>
          <w:rFonts w:hint="eastAsia" w:ascii="仿宋_GB2312" w:hAnsi="仿宋_GB2312" w:eastAsia="仿宋_GB2312" w:cs="仿宋_GB2312"/>
          <w:color w:val="auto"/>
          <w:sz w:val="32"/>
          <w:szCs w:val="32"/>
          <w:shd w:val="clear"/>
          <w:lang w:val="en-US" w:eastAsia="zh-CN"/>
        </w:rPr>
        <w:t>7%。</w:t>
      </w:r>
    </w:p>
    <w:p w14:paraId="3FD4FC2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baseline"/>
        <w:rPr>
          <w:rFonts w:hint="eastAsia" w:ascii="仿宋_GB2312" w:hAnsi="Times New Roman" w:eastAsia="仿宋_GB2312" w:cs="Times New Roman"/>
          <w:b w:val="0"/>
          <w:bCs/>
          <w:color w:val="auto"/>
          <w:kern w:val="0"/>
          <w:sz w:val="32"/>
          <w:szCs w:val="32"/>
          <w:lang w:val="en-US" w:eastAsia="zh-CN"/>
        </w:rPr>
      </w:pPr>
      <w:r>
        <w:rPr>
          <w:rFonts w:hint="eastAsia" w:ascii="仿宋_GB2312" w:hAnsi="Times New Roman" w:eastAsia="仿宋_GB2312" w:cs="Times New Roman"/>
          <w:b/>
          <w:color w:val="auto"/>
          <w:kern w:val="0"/>
          <w:sz w:val="32"/>
          <w:szCs w:val="32"/>
          <w:lang w:val="en-US" w:eastAsia="zh-CN"/>
        </w:rPr>
        <w:t>牵头单位：</w:t>
      </w:r>
      <w:r>
        <w:rPr>
          <w:rFonts w:hint="eastAsia" w:ascii="仿宋_GB2312" w:hAnsi="Times New Roman" w:eastAsia="仿宋_GB2312" w:cs="Times New Roman"/>
          <w:b w:val="0"/>
          <w:bCs/>
          <w:color w:val="auto"/>
          <w:kern w:val="0"/>
          <w:sz w:val="32"/>
          <w:szCs w:val="32"/>
          <w:lang w:val="en-US" w:eastAsia="zh-CN"/>
        </w:rPr>
        <w:t>区农业农村局</w:t>
      </w:r>
    </w:p>
    <w:p w14:paraId="7B93C8B1">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baseline"/>
        <w:rPr>
          <w:rFonts w:hint="default" w:ascii="仿宋_GB2312" w:hAnsi="Times New Roman" w:eastAsia="仿宋_GB2312" w:cs="Times New Roman"/>
          <w:b w:val="0"/>
          <w:bCs/>
          <w:color w:val="auto"/>
          <w:kern w:val="0"/>
          <w:sz w:val="32"/>
          <w:szCs w:val="32"/>
          <w:lang w:val="en-US" w:eastAsia="zh-CN"/>
        </w:rPr>
      </w:pPr>
      <w:r>
        <w:rPr>
          <w:rFonts w:hint="eastAsia" w:ascii="仿宋_GB2312" w:hAnsi="Times New Roman" w:eastAsia="仿宋_GB2312" w:cs="Times New Roman"/>
          <w:b/>
          <w:color w:val="auto"/>
          <w:kern w:val="0"/>
          <w:sz w:val="32"/>
          <w:szCs w:val="32"/>
          <w:lang w:val="en-US" w:eastAsia="zh-CN"/>
        </w:rPr>
        <w:t>配合单位：</w:t>
      </w:r>
      <w:r>
        <w:rPr>
          <w:rFonts w:hint="eastAsia" w:ascii="仿宋_GB2312" w:hAnsi="Times New Roman" w:eastAsia="仿宋_GB2312" w:cs="Times New Roman"/>
          <w:b w:val="0"/>
          <w:bCs/>
          <w:color w:val="auto"/>
          <w:kern w:val="0"/>
          <w:sz w:val="32"/>
          <w:szCs w:val="32"/>
          <w:lang w:val="en-US" w:eastAsia="zh-CN"/>
        </w:rPr>
        <w:t>各乡镇、区市场监管局、区工信局</w:t>
      </w:r>
    </w:p>
    <w:p w14:paraId="423A66A8">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560" w:lineRule="exact"/>
        <w:ind w:right="0" w:rightChars="0" w:firstLine="643" w:firstLineChars="200"/>
        <w:jc w:val="left"/>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10.持续推进秸秆综合利用和禁烧管控。</w:t>
      </w:r>
      <w:r>
        <w:rPr>
          <w:rFonts w:hint="eastAsia" w:ascii="仿宋_GB2312" w:hAnsi="仿宋_GB2312" w:eastAsia="仿宋_GB2312" w:cs="仿宋_GB2312"/>
          <w:color w:val="auto"/>
          <w:sz w:val="32"/>
          <w:szCs w:val="32"/>
          <w:lang w:val="en-US" w:eastAsia="zh-CN"/>
        </w:rPr>
        <w:t>提高秸秆可收集量、扩大直接还田规模、鼓励农户分散利用，推动肥料化、饲料化等多元化利用，从源头减少残余量，降低焚烧隐患。扶持秸秆加工企业、合作社等经营主体，发展规模化、产业化利用项目。健全区、乡镇、村、组四级禁烧管控责任体系，严格落实“属地责任、分级负责、全面覆盖、责任到人”的网格化管理要求，持续开展巡查检查。针对秸秆焚烧高发时期、敏感时段和重点区域，综合运用“人防+技防”手段，加强露天焚烧监管，依法查处焚烧秸秆、垃圾、枯枝落叶和荒草产生烟尘污染的行为。加强宣传引导，普及《中华人民共和国大气污染防治法》和绿色发展理念。坚决防止因秸秆集中焚烧引发重污染天气，自2026年起，秸秆综合利用率稳定在95%以上。</w:t>
      </w:r>
    </w:p>
    <w:p w14:paraId="4A6F31A4">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560" w:lineRule="exact"/>
        <w:ind w:right="0" w:rightChars="0" w:firstLine="643" w:firstLineChars="200"/>
        <w:jc w:val="left"/>
        <w:textAlignment w:val="baseline"/>
        <w:rPr>
          <w:rFonts w:hint="eastAsia" w:ascii="仿宋_GB2312" w:hAnsi="Times New Roman" w:eastAsia="仿宋_GB2312" w:cs="Times New Roman"/>
          <w:b w:val="0"/>
          <w:bCs/>
          <w:color w:val="auto"/>
          <w:kern w:val="0"/>
          <w:sz w:val="32"/>
          <w:szCs w:val="32"/>
          <w:lang w:val="en-US" w:eastAsia="zh-CN"/>
        </w:rPr>
      </w:pPr>
      <w:r>
        <w:rPr>
          <w:rFonts w:hint="eastAsia" w:ascii="仿宋_GB2312" w:hAnsi="Times New Roman" w:eastAsia="仿宋_GB2312" w:cs="Times New Roman"/>
          <w:b/>
          <w:color w:val="auto"/>
          <w:kern w:val="0"/>
          <w:sz w:val="32"/>
          <w:szCs w:val="32"/>
          <w:lang w:val="en-US" w:eastAsia="zh-CN"/>
        </w:rPr>
        <w:t>牵头单位：</w:t>
      </w:r>
      <w:r>
        <w:rPr>
          <w:rFonts w:hint="eastAsia" w:ascii="仿宋_GB2312" w:hAnsi="Times New Roman" w:eastAsia="仿宋_GB2312" w:cs="Times New Roman"/>
          <w:b w:val="0"/>
          <w:bCs/>
          <w:color w:val="auto"/>
          <w:kern w:val="0"/>
          <w:sz w:val="32"/>
          <w:szCs w:val="32"/>
          <w:lang w:val="en-US" w:eastAsia="zh-CN"/>
        </w:rPr>
        <w:t>区农业农村局</w:t>
      </w:r>
    </w:p>
    <w:p w14:paraId="3415708E">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560" w:lineRule="exact"/>
        <w:ind w:right="0" w:rightChars="0" w:firstLine="643" w:firstLineChars="200"/>
        <w:jc w:val="left"/>
        <w:textAlignment w:val="baseline"/>
        <w:rPr>
          <w:rFonts w:hint="eastAsia" w:ascii="仿宋_GB2312" w:hAnsi="Times New Roman" w:eastAsia="仿宋_GB2312" w:cs="Times New Roman"/>
          <w:b w:val="0"/>
          <w:bCs/>
          <w:color w:val="auto"/>
          <w:kern w:val="0"/>
          <w:sz w:val="32"/>
          <w:szCs w:val="32"/>
          <w:lang w:val="en-US" w:eastAsia="zh-CN"/>
        </w:rPr>
      </w:pPr>
      <w:r>
        <w:rPr>
          <w:rFonts w:hint="eastAsia" w:ascii="仿宋_GB2312" w:hAnsi="Times New Roman" w:eastAsia="仿宋_GB2312" w:cs="Times New Roman"/>
          <w:b/>
          <w:color w:val="auto"/>
          <w:kern w:val="0"/>
          <w:sz w:val="32"/>
          <w:szCs w:val="32"/>
          <w:lang w:val="en-US" w:eastAsia="zh-CN"/>
        </w:rPr>
        <w:t>配合单位：</w:t>
      </w:r>
      <w:r>
        <w:rPr>
          <w:rFonts w:hint="eastAsia" w:ascii="仿宋_GB2312" w:hAnsi="Times New Roman" w:eastAsia="仿宋_GB2312" w:cs="Times New Roman"/>
          <w:b w:val="0"/>
          <w:bCs/>
          <w:color w:val="auto"/>
          <w:kern w:val="0"/>
          <w:sz w:val="32"/>
          <w:szCs w:val="32"/>
          <w:lang w:val="en-US" w:eastAsia="zh-CN"/>
        </w:rPr>
        <w:t>各乡镇、市生态环境局甘州分局</w:t>
      </w:r>
    </w:p>
    <w:p w14:paraId="7ADD839E">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Times New Roman" w:eastAsia="仿宋_GB2312" w:cs="Times New Roman"/>
          <w:b/>
          <w:color w:val="auto"/>
          <w:kern w:val="0"/>
          <w:sz w:val="32"/>
          <w:szCs w:val="32"/>
          <w:lang w:val="en-US" w:eastAsia="zh-CN"/>
        </w:rPr>
        <w:t>11.纵深推进其他农业面源污染综合防治。</w:t>
      </w:r>
      <w:r>
        <w:rPr>
          <w:rFonts w:hint="eastAsia" w:ascii="仿宋_GB2312" w:hAnsi="仿宋_GB2312" w:eastAsia="仿宋_GB2312" w:cs="仿宋_GB2312"/>
          <w:color w:val="auto"/>
          <w:sz w:val="32"/>
          <w:szCs w:val="32"/>
          <w:lang w:val="en-US" w:eastAsia="zh-CN"/>
        </w:rPr>
        <w:t>加强尾菜处理利用，开展技术示范推广与现场指导；依托甘州区尾菜处理中心，实现尾菜的减量化、资源化。落实农药包装废弃物回收处置，按照“谁生产、谁经营、谁使用、谁回收”的原则，在各农药经销门店设置回收箱，推行“无偿回收、集中处理”，确保</w:t>
      </w:r>
      <w:r>
        <w:rPr>
          <w:rFonts w:hint="eastAsia" w:ascii="仿宋_GB2312" w:hAnsi="仿宋_GB2312" w:eastAsia="仿宋_GB2312" w:cs="仿宋_GB2312"/>
          <w:sz w:val="32"/>
          <w:szCs w:val="32"/>
          <w:lang w:val="en-US" w:eastAsia="zh-CN"/>
        </w:rPr>
        <w:t>2026年至2028年期间，农药包装废弃物回收率达80%以上</w:t>
      </w:r>
      <w:r>
        <w:rPr>
          <w:rFonts w:hint="eastAsia" w:ascii="仿宋_GB2312" w:hAnsi="仿宋_GB2312" w:eastAsia="仿宋_GB2312" w:cs="仿宋_GB2312"/>
          <w:color w:val="auto"/>
          <w:sz w:val="32"/>
          <w:szCs w:val="32"/>
          <w:lang w:val="en-US" w:eastAsia="zh-CN"/>
        </w:rPr>
        <w:t>。实施科学施肥增效和用药增效行动，推进绿色防控与统防统治，促进化学农药减量增效。</w:t>
      </w:r>
      <w:r>
        <w:rPr>
          <w:rFonts w:hint="eastAsia" w:ascii="仿宋_GB2312" w:hAnsi="Times New Roman" w:eastAsia="仿宋_GB2312" w:cs="Times New Roman"/>
          <w:b w:val="0"/>
          <w:bCs/>
          <w:color w:val="auto"/>
          <w:kern w:val="0"/>
          <w:sz w:val="32"/>
          <w:szCs w:val="32"/>
          <w:lang w:val="en-US" w:eastAsia="zh-CN"/>
        </w:rPr>
        <w:t>2026年，力争主要农作物绿色防控覆盖率和主要粮食作物统防统治覆盖率均达到56%以上。到2028年，实现测土配方施肥技术覆盖率稳定在90%以上，主要粮食农作物化肥（氮肥）利用率提升至43%以上；主要农作物绿色防控覆盖率和主要粮食作物统防统治覆盖率提高到58%以上。</w:t>
      </w:r>
      <w:r>
        <w:rPr>
          <w:rFonts w:hint="eastAsia" w:ascii="仿宋_GB2312" w:hAnsi="仿宋_GB2312" w:eastAsia="仿宋_GB2312" w:cs="仿宋_GB2312"/>
          <w:color w:val="auto"/>
          <w:sz w:val="32"/>
          <w:szCs w:val="32"/>
          <w:lang w:val="en-US" w:eastAsia="zh-CN"/>
        </w:rPr>
        <w:t>确保2026年及以后，尾菜处理利用率稳定在85%以上。</w:t>
      </w:r>
    </w:p>
    <w:p w14:paraId="4CCDCBBB">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baseline"/>
        <w:rPr>
          <w:rFonts w:hint="eastAsia" w:ascii="仿宋_GB2312" w:hAnsi="Times New Roman" w:eastAsia="仿宋_GB2312" w:cs="Times New Roman"/>
          <w:b w:val="0"/>
          <w:bCs/>
          <w:color w:val="auto"/>
          <w:kern w:val="0"/>
          <w:sz w:val="32"/>
          <w:szCs w:val="32"/>
          <w:lang w:val="en-US" w:eastAsia="zh-CN"/>
        </w:rPr>
      </w:pPr>
      <w:r>
        <w:rPr>
          <w:rFonts w:hint="eastAsia" w:ascii="仿宋_GB2312" w:hAnsi="Times New Roman" w:eastAsia="仿宋_GB2312" w:cs="Times New Roman"/>
          <w:b/>
          <w:color w:val="auto"/>
          <w:kern w:val="0"/>
          <w:sz w:val="32"/>
          <w:szCs w:val="32"/>
          <w:lang w:val="en-US" w:eastAsia="zh-CN"/>
        </w:rPr>
        <w:t>牵头单位：</w:t>
      </w:r>
      <w:r>
        <w:rPr>
          <w:rFonts w:hint="eastAsia" w:ascii="仿宋_GB2312" w:hAnsi="Times New Roman" w:eastAsia="仿宋_GB2312" w:cs="Times New Roman"/>
          <w:b w:val="0"/>
          <w:bCs/>
          <w:color w:val="auto"/>
          <w:kern w:val="0"/>
          <w:sz w:val="32"/>
          <w:szCs w:val="32"/>
          <w:lang w:val="en-US" w:eastAsia="zh-CN"/>
        </w:rPr>
        <w:t>区农业农村局</w:t>
      </w:r>
    </w:p>
    <w:p w14:paraId="66BD2A5C">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baseline"/>
        <w:rPr>
          <w:rFonts w:hint="eastAsia" w:ascii="仿宋_GB2312" w:hAnsi="Times New Roman" w:eastAsia="仿宋_GB2312" w:cs="Times New Roman"/>
          <w:b w:val="0"/>
          <w:bCs/>
          <w:color w:val="auto"/>
          <w:kern w:val="0"/>
          <w:sz w:val="32"/>
          <w:szCs w:val="32"/>
          <w:lang w:val="en-US" w:eastAsia="zh-CN"/>
        </w:rPr>
      </w:pPr>
      <w:r>
        <w:rPr>
          <w:rFonts w:hint="eastAsia" w:ascii="仿宋_GB2312" w:hAnsi="Times New Roman" w:eastAsia="仿宋_GB2312" w:cs="Times New Roman"/>
          <w:b/>
          <w:color w:val="auto"/>
          <w:kern w:val="0"/>
          <w:sz w:val="32"/>
          <w:szCs w:val="32"/>
          <w:lang w:val="en-US" w:eastAsia="zh-CN"/>
        </w:rPr>
        <w:t>配合单位：</w:t>
      </w:r>
      <w:r>
        <w:rPr>
          <w:rFonts w:hint="eastAsia" w:ascii="仿宋_GB2312" w:hAnsi="Times New Roman" w:eastAsia="仿宋_GB2312" w:cs="Times New Roman"/>
          <w:b w:val="0"/>
          <w:bCs/>
          <w:color w:val="auto"/>
          <w:kern w:val="0"/>
          <w:sz w:val="32"/>
          <w:szCs w:val="32"/>
          <w:lang w:val="en-US" w:eastAsia="zh-CN"/>
        </w:rPr>
        <w:t>各乡镇</w:t>
      </w:r>
    </w:p>
    <w:p w14:paraId="43BFC7DA">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Fonts w:hint="default" w:ascii="楷体_GB2312" w:hAnsi="Times New Roman" w:eastAsia="楷体_GB2312" w:cs="Times New Roman"/>
          <w:b/>
          <w:color w:val="auto"/>
          <w:kern w:val="0"/>
          <w:sz w:val="32"/>
          <w:szCs w:val="32"/>
          <w:lang w:val="en-US" w:eastAsia="zh-CN"/>
        </w:rPr>
      </w:pPr>
      <w:r>
        <w:rPr>
          <w:rFonts w:hint="eastAsia" w:ascii="楷体_GB2312" w:hAnsi="Times New Roman" w:eastAsia="楷体_GB2312" w:cs="Times New Roman"/>
          <w:b/>
          <w:color w:val="auto"/>
          <w:kern w:val="0"/>
          <w:sz w:val="32"/>
          <w:szCs w:val="32"/>
          <w:lang w:val="en-US" w:eastAsia="zh-CN"/>
        </w:rPr>
        <w:t>（三）持续提升农村幸福宜居品质</w:t>
      </w:r>
    </w:p>
    <w:p w14:paraId="3CFBB54B">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rPr>
          <w:rFonts w:hint="eastAsia" w:ascii="仿宋_GB2312" w:hAnsi="仿宋_GB2312" w:eastAsia="仿宋_GB2312" w:cs="仿宋_GB2312"/>
          <w:color w:val="auto"/>
          <w:spacing w:val="0"/>
          <w:kern w:val="0"/>
          <w:sz w:val="32"/>
          <w:szCs w:val="32"/>
          <w:lang w:val="en-US" w:eastAsia="zh-CN"/>
          <w:woUserID w:val="2"/>
        </w:rPr>
      </w:pPr>
      <w:r>
        <w:rPr>
          <w:rFonts w:hint="eastAsia" w:ascii="仿宋_GB2312" w:hAnsi="Times New Roman" w:eastAsia="仿宋_GB2312" w:cs="Times New Roman"/>
          <w:b/>
          <w:color w:val="auto"/>
          <w:kern w:val="0"/>
          <w:sz w:val="32"/>
          <w:szCs w:val="32"/>
          <w:lang w:val="en-US" w:eastAsia="zh-CN"/>
        </w:rPr>
        <w:t>12.合理推进乡村空间设计与微改造。</w:t>
      </w:r>
      <w:r>
        <w:rPr>
          <w:rFonts w:hint="eastAsia" w:ascii="仿宋_GB2312" w:hAnsi="仿宋_GB2312" w:eastAsia="仿宋_GB2312" w:cs="仿宋_GB2312"/>
          <w:color w:val="auto"/>
          <w:sz w:val="32"/>
          <w:szCs w:val="32"/>
          <w:lang w:val="en-US" w:eastAsia="zh-CN"/>
        </w:rPr>
        <w:t>结合农村实际、地域特征与乡土文化，优化宅基地、产业、道路、基础设施及公共服务设施布局与形态，依据《甘肃省村容村貌提升导则》提升农宅、公共空间、道路街巷风貌。深入开展“百村示范、千村振兴”工程，建设乡村振兴示范带和示范点。广泛开展“美丽庭院”创建，引导群众整治院落环境，打造农村风貌最小单元。</w:t>
      </w:r>
      <w:r>
        <w:rPr>
          <w:rFonts w:hint="eastAsia" w:ascii="仿宋_GB2312" w:hAnsi="仿宋_GB2312" w:eastAsia="仿宋_GB2312" w:cs="仿宋_GB2312"/>
          <w:color w:val="auto"/>
          <w:spacing w:val="0"/>
          <w:kern w:val="0"/>
          <w:sz w:val="32"/>
          <w:szCs w:val="32"/>
          <w:lang w:val="en-US" w:eastAsia="zh-CN"/>
          <w:woUserID w:val="2"/>
        </w:rPr>
        <w:t>确保集中建设区域和公共空间整洁有序。</w:t>
      </w:r>
    </w:p>
    <w:p w14:paraId="2618E500">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rPr>
          <w:rFonts w:hint="eastAsia" w:ascii="仿宋_GB2312" w:hAnsi="Times New Roman" w:eastAsia="仿宋_GB2312" w:cs="Times New Roman"/>
          <w:b w:val="0"/>
          <w:bCs/>
          <w:color w:val="auto"/>
          <w:kern w:val="0"/>
          <w:sz w:val="32"/>
          <w:szCs w:val="32"/>
          <w:lang w:val="en-US" w:eastAsia="zh-CN"/>
        </w:rPr>
      </w:pPr>
      <w:r>
        <w:rPr>
          <w:rFonts w:hint="eastAsia" w:ascii="仿宋_GB2312" w:hAnsi="Times New Roman" w:eastAsia="仿宋_GB2312" w:cs="Times New Roman"/>
          <w:b/>
          <w:color w:val="auto"/>
          <w:kern w:val="0"/>
          <w:sz w:val="32"/>
          <w:szCs w:val="32"/>
          <w:lang w:val="en-US" w:eastAsia="zh-CN"/>
        </w:rPr>
        <w:t>牵头单位：</w:t>
      </w:r>
      <w:r>
        <w:rPr>
          <w:rFonts w:hint="eastAsia" w:ascii="仿宋_GB2312" w:hAnsi="Times New Roman" w:eastAsia="仿宋_GB2312" w:cs="Times New Roman"/>
          <w:b w:val="0"/>
          <w:bCs/>
          <w:color w:val="auto"/>
          <w:kern w:val="0"/>
          <w:sz w:val="32"/>
          <w:szCs w:val="32"/>
          <w:lang w:val="en-US" w:eastAsia="zh-CN"/>
        </w:rPr>
        <w:t>各乡镇、区农业农村局、市自然资源局甘州分局</w:t>
      </w:r>
    </w:p>
    <w:p w14:paraId="7544F588">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rPr>
          <w:rFonts w:hint="eastAsia" w:ascii="仿宋_GB2312" w:hAnsi="Times New Roman" w:eastAsia="仿宋_GB2312" w:cs="Times New Roman"/>
          <w:b w:val="0"/>
          <w:bCs/>
          <w:color w:val="auto"/>
          <w:kern w:val="0"/>
          <w:sz w:val="32"/>
          <w:szCs w:val="32"/>
          <w:lang w:val="en-US" w:eastAsia="zh-CN"/>
        </w:rPr>
      </w:pPr>
      <w:r>
        <w:rPr>
          <w:rFonts w:hint="eastAsia" w:ascii="仿宋_GB2312" w:hAnsi="Times New Roman" w:eastAsia="仿宋_GB2312" w:cs="Times New Roman"/>
          <w:b/>
          <w:color w:val="auto"/>
          <w:kern w:val="0"/>
          <w:sz w:val="32"/>
          <w:szCs w:val="32"/>
          <w:lang w:val="en-US" w:eastAsia="zh-CN"/>
        </w:rPr>
        <w:t>配合单位：</w:t>
      </w:r>
      <w:r>
        <w:rPr>
          <w:rFonts w:hint="eastAsia" w:ascii="仿宋_GB2312" w:hAnsi="Times New Roman" w:eastAsia="仿宋_GB2312" w:cs="Times New Roman"/>
          <w:b w:val="0"/>
          <w:bCs/>
          <w:color w:val="auto"/>
          <w:kern w:val="0"/>
          <w:sz w:val="32"/>
          <w:szCs w:val="32"/>
          <w:lang w:val="en-US" w:eastAsia="zh-CN"/>
        </w:rPr>
        <w:t>区住建局、区发展改革局</w:t>
      </w:r>
    </w:p>
    <w:p w14:paraId="09E0F64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rPr>
          <w:rFonts w:hint="eastAsia" w:ascii="仿宋_GB2312" w:hAnsi="仿宋_GB2312" w:eastAsia="仿宋_GB2312" w:cs="仿宋_GB2312"/>
          <w:b/>
          <w:bCs/>
          <w:color w:val="auto"/>
          <w:spacing w:val="0"/>
          <w:kern w:val="0"/>
          <w:sz w:val="32"/>
          <w:szCs w:val="32"/>
          <w:lang w:val="en-US" w:eastAsia="zh-CN"/>
          <w:woUserID w:val="2"/>
        </w:rPr>
      </w:pPr>
      <w:r>
        <w:rPr>
          <w:rFonts w:hint="eastAsia" w:ascii="仿宋_GB2312" w:hAnsi="Times New Roman" w:eastAsia="仿宋_GB2312" w:cs="Times New Roman"/>
          <w:b/>
          <w:color w:val="auto"/>
          <w:kern w:val="0"/>
          <w:sz w:val="32"/>
          <w:szCs w:val="32"/>
          <w:lang w:val="en-US" w:eastAsia="zh-CN"/>
        </w:rPr>
        <w:t>13.扎实推进农村厕所革命。</w:t>
      </w:r>
      <w:r>
        <w:rPr>
          <w:rFonts w:hint="eastAsia" w:ascii="仿宋_GB2312" w:hAnsi="仿宋_GB2312" w:eastAsia="仿宋_GB2312" w:cs="仿宋_GB2312"/>
          <w:color w:val="auto"/>
          <w:spacing w:val="0"/>
          <w:kern w:val="0"/>
          <w:sz w:val="32"/>
          <w:szCs w:val="32"/>
          <w:lang w:val="en-US" w:eastAsia="zh-CN"/>
          <w:woUserID w:val="2"/>
        </w:rPr>
        <w:t>紧扣改厕工作实际，严把产品质量、施工质量、竣工验收“三道关口”。持续巩固“问题厕所”治理成果，健全日常巡检、维修清掏等管护体系，建立问题快速响应机制，及时整改群众反映问题。发挥村级组织和群众主体作用，引导组建专业化服务队伍。建立稳定资金投入与运转机制，巩固改厕成果。</w:t>
      </w:r>
    </w:p>
    <w:p w14:paraId="5C82879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rPr>
          <w:rFonts w:hint="eastAsia" w:ascii="仿宋_GB2312" w:hAnsi="仿宋_GB2312" w:eastAsia="仿宋_GB2312" w:cs="仿宋_GB2312"/>
          <w:b w:val="0"/>
          <w:bCs w:val="0"/>
          <w:color w:val="auto"/>
          <w:spacing w:val="0"/>
          <w:kern w:val="0"/>
          <w:sz w:val="32"/>
          <w:szCs w:val="32"/>
          <w:lang w:val="en-US" w:eastAsia="zh-CN"/>
          <w:woUserID w:val="2"/>
        </w:rPr>
      </w:pPr>
      <w:r>
        <w:rPr>
          <w:rFonts w:hint="eastAsia" w:ascii="仿宋_GB2312" w:hAnsi="仿宋_GB2312" w:eastAsia="仿宋_GB2312" w:cs="仿宋_GB2312"/>
          <w:b/>
          <w:bCs/>
          <w:color w:val="auto"/>
          <w:spacing w:val="0"/>
          <w:kern w:val="0"/>
          <w:sz w:val="32"/>
          <w:szCs w:val="32"/>
          <w:lang w:val="en-US" w:eastAsia="zh-CN"/>
          <w:woUserID w:val="2"/>
        </w:rPr>
        <w:t>牵头单位：</w:t>
      </w:r>
      <w:r>
        <w:rPr>
          <w:rFonts w:hint="eastAsia" w:ascii="仿宋_GB2312" w:hAnsi="仿宋_GB2312" w:eastAsia="仿宋_GB2312" w:cs="仿宋_GB2312"/>
          <w:b w:val="0"/>
          <w:bCs w:val="0"/>
          <w:color w:val="auto"/>
          <w:spacing w:val="0"/>
          <w:kern w:val="0"/>
          <w:sz w:val="32"/>
          <w:szCs w:val="32"/>
          <w:lang w:val="en-US" w:eastAsia="zh-CN"/>
          <w:woUserID w:val="2"/>
        </w:rPr>
        <w:t>区农业农村局</w:t>
      </w:r>
    </w:p>
    <w:p w14:paraId="0F64A26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rPr>
          <w:rFonts w:hint="eastAsia" w:ascii="仿宋_GB2312" w:hAnsi="Times New Roman" w:eastAsia="仿宋_GB2312" w:cs="Times New Roman"/>
          <w:b w:val="0"/>
          <w:bCs/>
          <w:color w:val="auto"/>
          <w:kern w:val="0"/>
          <w:sz w:val="32"/>
          <w:szCs w:val="32"/>
          <w:lang w:val="en-US" w:eastAsia="zh-CN"/>
        </w:rPr>
      </w:pPr>
      <w:r>
        <w:rPr>
          <w:rFonts w:hint="eastAsia" w:ascii="仿宋_GB2312" w:hAnsi="仿宋_GB2312" w:eastAsia="仿宋_GB2312" w:cs="仿宋_GB2312"/>
          <w:b/>
          <w:bCs/>
          <w:color w:val="auto"/>
          <w:spacing w:val="0"/>
          <w:kern w:val="0"/>
          <w:sz w:val="32"/>
          <w:szCs w:val="32"/>
          <w:lang w:val="en-US" w:eastAsia="zh-CN"/>
          <w:woUserID w:val="2"/>
        </w:rPr>
        <w:t>配合单位：</w:t>
      </w:r>
      <w:r>
        <w:rPr>
          <w:rFonts w:hint="eastAsia" w:ascii="仿宋_GB2312" w:hAnsi="Times New Roman" w:eastAsia="仿宋_GB2312" w:cs="Times New Roman"/>
          <w:b w:val="0"/>
          <w:bCs/>
          <w:color w:val="auto"/>
          <w:kern w:val="0"/>
          <w:sz w:val="32"/>
          <w:szCs w:val="32"/>
          <w:lang w:val="en-US" w:eastAsia="zh-CN"/>
        </w:rPr>
        <w:t>各乡镇</w:t>
      </w:r>
    </w:p>
    <w:p w14:paraId="0FD464C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rPr>
          <w:rFonts w:hint="eastAsia" w:ascii="仿宋_GB2312" w:hAnsi="仿宋_GB2312" w:eastAsia="仿宋_GB2312" w:cs="仿宋_GB2312"/>
          <w:color w:val="auto"/>
          <w:sz w:val="32"/>
          <w:szCs w:val="32"/>
          <w:lang w:val="en-US" w:eastAsia="zh-CN"/>
        </w:rPr>
      </w:pPr>
      <w:r>
        <w:rPr>
          <w:rFonts w:hint="eastAsia" w:ascii="仿宋_GB2312" w:hAnsi="Times New Roman" w:eastAsia="仿宋_GB2312" w:cs="Times New Roman"/>
          <w:b/>
          <w:color w:val="auto"/>
          <w:kern w:val="0"/>
          <w:sz w:val="32"/>
          <w:szCs w:val="32"/>
          <w:lang w:val="en-US" w:eastAsia="zh-CN"/>
        </w:rPr>
        <w:t>14.大力推进农村地区清洁能源替代。</w:t>
      </w:r>
      <w:r>
        <w:rPr>
          <w:rFonts w:hint="eastAsia" w:ascii="仿宋_GB2312" w:hAnsi="仿宋_GB2312" w:eastAsia="仿宋_GB2312" w:cs="仿宋_GB2312"/>
          <w:color w:val="auto"/>
          <w:sz w:val="32"/>
          <w:szCs w:val="32"/>
          <w:lang w:val="en-US" w:eastAsia="zh-CN"/>
        </w:rPr>
        <w:t>推进农村能源低碳转型，探索“零碳村镇”建设。推广农户经济可承受的清洁取暖技术。积极争取项目支持，打造绿色低碳示范村，实现绿色低碳、清洁高效、多能互补的乡村用能模式。</w:t>
      </w:r>
    </w:p>
    <w:p w14:paraId="41E3F0C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rPr>
          <w:rFonts w:hint="eastAsia" w:ascii="仿宋_GB2312" w:hAnsi="Times New Roman" w:eastAsia="仿宋_GB2312" w:cs="Times New Roman"/>
          <w:b w:val="0"/>
          <w:bCs/>
          <w:color w:val="auto"/>
          <w:kern w:val="0"/>
          <w:sz w:val="32"/>
          <w:szCs w:val="32"/>
          <w:lang w:val="en-US" w:eastAsia="zh-CN"/>
        </w:rPr>
      </w:pPr>
      <w:r>
        <w:rPr>
          <w:rFonts w:hint="eastAsia" w:ascii="仿宋_GB2312" w:hAnsi="Times New Roman" w:eastAsia="仿宋_GB2312" w:cs="Times New Roman"/>
          <w:b/>
          <w:color w:val="auto"/>
          <w:kern w:val="0"/>
          <w:sz w:val="32"/>
          <w:szCs w:val="32"/>
          <w:lang w:val="en-US" w:eastAsia="zh-CN"/>
        </w:rPr>
        <w:t>牵头单位：</w:t>
      </w:r>
      <w:r>
        <w:rPr>
          <w:rFonts w:hint="eastAsia" w:ascii="仿宋_GB2312" w:hAnsi="Times New Roman" w:eastAsia="仿宋_GB2312" w:cs="Times New Roman"/>
          <w:b w:val="0"/>
          <w:bCs/>
          <w:color w:val="auto"/>
          <w:kern w:val="0"/>
          <w:sz w:val="32"/>
          <w:szCs w:val="32"/>
          <w:lang w:val="en-US" w:eastAsia="zh-CN"/>
        </w:rPr>
        <w:t>区农业农村局</w:t>
      </w:r>
    </w:p>
    <w:p w14:paraId="53CE166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rPr>
          <w:rFonts w:hint="default" w:ascii="仿宋_GB2312" w:hAnsi="Times New Roman" w:eastAsia="仿宋_GB2312" w:cs="Times New Roman"/>
          <w:b w:val="0"/>
          <w:bCs/>
          <w:color w:val="auto"/>
          <w:kern w:val="0"/>
          <w:sz w:val="32"/>
          <w:szCs w:val="32"/>
          <w:lang w:val="en-US" w:eastAsia="zh-CN"/>
        </w:rPr>
      </w:pPr>
      <w:r>
        <w:rPr>
          <w:rFonts w:hint="eastAsia" w:ascii="仿宋_GB2312" w:hAnsi="Times New Roman" w:eastAsia="仿宋_GB2312" w:cs="Times New Roman"/>
          <w:b/>
          <w:color w:val="auto"/>
          <w:kern w:val="0"/>
          <w:sz w:val="32"/>
          <w:szCs w:val="32"/>
          <w:lang w:val="en-US" w:eastAsia="zh-CN"/>
        </w:rPr>
        <w:t>配合单位：</w:t>
      </w:r>
      <w:r>
        <w:rPr>
          <w:rFonts w:hint="eastAsia" w:ascii="仿宋_GB2312" w:hAnsi="Times New Roman" w:eastAsia="仿宋_GB2312" w:cs="Times New Roman"/>
          <w:b w:val="0"/>
          <w:bCs/>
          <w:color w:val="auto"/>
          <w:kern w:val="0"/>
          <w:sz w:val="32"/>
          <w:szCs w:val="32"/>
          <w:lang w:val="en-US" w:eastAsia="zh-CN"/>
        </w:rPr>
        <w:t>各乡镇、区发展改革局、市生态环境局甘州分局、区住建局</w:t>
      </w:r>
    </w:p>
    <w:p w14:paraId="5E51C22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rPr>
          <w:rFonts w:hint="eastAsia" w:ascii="仿宋_GB2312" w:hAnsi="宋体" w:eastAsia="仿宋_GB2312" w:cs="仿宋_GB2312"/>
          <w:i w:val="0"/>
          <w:iCs w:val="0"/>
          <w:caps w:val="0"/>
          <w:color w:val="auto"/>
          <w:spacing w:val="0"/>
          <w:sz w:val="31"/>
          <w:szCs w:val="31"/>
          <w:shd w:val="clear"/>
          <w:lang w:val="en-US" w:eastAsia="zh-CN"/>
        </w:rPr>
      </w:pPr>
      <w:r>
        <w:rPr>
          <w:rFonts w:hint="eastAsia" w:ascii="仿宋_GB2312" w:hAnsi="Times New Roman" w:eastAsia="仿宋_GB2312" w:cs="Times New Roman"/>
          <w:b/>
          <w:color w:val="auto"/>
          <w:kern w:val="0"/>
          <w:sz w:val="32"/>
          <w:szCs w:val="32"/>
          <w:lang w:val="en-US" w:eastAsia="zh-CN"/>
        </w:rPr>
        <w:t>15.深入实施乡村绿化美化。</w:t>
      </w:r>
      <w:r>
        <w:rPr>
          <w:rFonts w:hint="eastAsia" w:ascii="仿宋_GB2312" w:hAnsi="仿宋_GB2312" w:eastAsia="仿宋_GB2312" w:cs="仿宋_GB2312"/>
          <w:color w:val="auto"/>
          <w:sz w:val="32"/>
          <w:szCs w:val="32"/>
          <w:lang w:val="en-US" w:eastAsia="zh-CN"/>
        </w:rPr>
        <w:t>推广乡土树种和节水绿化技术，重点对“四旁”地、场院地、公共绿地、废弃闲置地绿化美化，稳步增加乡村绿量。纵深推进村庄清洁行动，结合村庄实际，分类推进清洁行动，对基础较好的村庄重点推进人居环境提档升级，推动清洁行动与乡村风貌提升；对基础薄弱的村庄，集中力量解决“脏、乱、差”突出问题。确保2026年及以后</w:t>
      </w:r>
      <w:r>
        <w:rPr>
          <w:rFonts w:hint="eastAsia" w:ascii="仿宋_GB2312" w:hAnsi="宋体" w:eastAsia="仿宋_GB2312" w:cs="仿宋_GB2312"/>
          <w:i w:val="0"/>
          <w:iCs w:val="0"/>
          <w:caps w:val="0"/>
          <w:color w:val="auto"/>
          <w:spacing w:val="0"/>
          <w:sz w:val="31"/>
          <w:szCs w:val="31"/>
          <w:shd w:val="clear"/>
          <w:lang w:val="en-US" w:eastAsia="zh-CN"/>
        </w:rPr>
        <w:t>，所有乡镇集中建设区域整洁有序。</w:t>
      </w:r>
    </w:p>
    <w:p w14:paraId="18C19E8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rPr>
          <w:rFonts w:hint="eastAsia" w:ascii="仿宋_GB2312" w:hAnsi="Times New Roman" w:eastAsia="仿宋_GB2312" w:cs="Times New Roman"/>
          <w:b w:val="0"/>
          <w:bCs/>
          <w:color w:val="auto"/>
          <w:kern w:val="0"/>
          <w:sz w:val="32"/>
          <w:szCs w:val="32"/>
          <w:lang w:val="en-US" w:eastAsia="zh-CN"/>
        </w:rPr>
      </w:pPr>
      <w:r>
        <w:rPr>
          <w:rFonts w:hint="eastAsia" w:ascii="仿宋_GB2312" w:hAnsi="Times New Roman" w:eastAsia="仿宋_GB2312" w:cs="Times New Roman"/>
          <w:b/>
          <w:color w:val="auto"/>
          <w:kern w:val="0"/>
          <w:sz w:val="32"/>
          <w:szCs w:val="32"/>
          <w:lang w:val="en-US" w:eastAsia="zh-CN"/>
        </w:rPr>
        <w:t>牵头单位：</w:t>
      </w:r>
      <w:r>
        <w:rPr>
          <w:rFonts w:hint="eastAsia" w:ascii="仿宋_GB2312" w:hAnsi="Times New Roman" w:eastAsia="仿宋_GB2312" w:cs="Times New Roman"/>
          <w:b w:val="0"/>
          <w:bCs/>
          <w:color w:val="auto"/>
          <w:kern w:val="0"/>
          <w:sz w:val="32"/>
          <w:szCs w:val="32"/>
          <w:lang w:val="en-US" w:eastAsia="zh-CN"/>
        </w:rPr>
        <w:t>各乡镇、区林草局</w:t>
      </w:r>
    </w:p>
    <w:p w14:paraId="05920C7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rPr>
          <w:rFonts w:hint="default" w:ascii="仿宋_GB2312" w:hAnsi="Times New Roman" w:eastAsia="仿宋_GB2312" w:cs="Times New Roman"/>
          <w:b w:val="0"/>
          <w:bCs/>
          <w:color w:val="auto"/>
          <w:kern w:val="0"/>
          <w:sz w:val="32"/>
          <w:szCs w:val="32"/>
          <w:lang w:val="en-US" w:eastAsia="zh-CN"/>
        </w:rPr>
      </w:pPr>
      <w:r>
        <w:rPr>
          <w:rFonts w:hint="eastAsia" w:ascii="仿宋_GB2312" w:hAnsi="Times New Roman" w:eastAsia="仿宋_GB2312" w:cs="Times New Roman"/>
          <w:b/>
          <w:color w:val="auto"/>
          <w:kern w:val="0"/>
          <w:sz w:val="32"/>
          <w:szCs w:val="32"/>
          <w:lang w:val="en-US" w:eastAsia="zh-CN"/>
        </w:rPr>
        <w:t>配合单位：</w:t>
      </w:r>
      <w:r>
        <w:rPr>
          <w:rFonts w:hint="eastAsia" w:ascii="仿宋_GB2312" w:hAnsi="Times New Roman" w:eastAsia="仿宋_GB2312" w:cs="Times New Roman"/>
          <w:b w:val="0"/>
          <w:bCs/>
          <w:color w:val="auto"/>
          <w:kern w:val="0"/>
          <w:sz w:val="32"/>
          <w:szCs w:val="32"/>
          <w:lang w:val="en-US" w:eastAsia="zh-CN"/>
        </w:rPr>
        <w:t>区农业农村局，市自然资源局甘州分局</w:t>
      </w:r>
    </w:p>
    <w:p w14:paraId="08637D3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rPr>
          <w:rFonts w:hint="eastAsia" w:ascii="仿宋_GB2312" w:hAnsi="仿宋_GB2312" w:eastAsia="仿宋_GB2312" w:cs="仿宋_GB2312"/>
          <w:color w:val="auto"/>
          <w:spacing w:val="0"/>
          <w:kern w:val="0"/>
          <w:sz w:val="32"/>
          <w:szCs w:val="32"/>
          <w:lang w:val="en-US" w:eastAsia="zh-CN" w:bidi="ar-SA"/>
          <w:woUserID w:val="2"/>
        </w:rPr>
      </w:pPr>
      <w:r>
        <w:rPr>
          <w:rFonts w:hint="eastAsia" w:ascii="仿宋_GB2312" w:hAnsi="Times New Roman" w:eastAsia="仿宋_GB2312" w:cs="Times New Roman"/>
          <w:b/>
          <w:color w:val="auto"/>
          <w:kern w:val="0"/>
          <w:sz w:val="32"/>
          <w:szCs w:val="32"/>
          <w:lang w:val="en-US" w:eastAsia="zh-CN"/>
        </w:rPr>
        <w:t>16.持续提升美丽乡村建设满意度。</w:t>
      </w:r>
      <w:r>
        <w:rPr>
          <w:rFonts w:hint="eastAsia" w:ascii="仿宋_GB2312" w:hAnsi="仿宋_GB2312" w:eastAsia="仿宋_GB2312" w:cs="仿宋_GB2312"/>
          <w:spacing w:val="0"/>
          <w:kern w:val="0"/>
          <w:sz w:val="32"/>
          <w:szCs w:val="32"/>
          <w:lang w:val="en-US" w:eastAsia="zh-CN"/>
          <w:woUserID w:val="2"/>
        </w:rPr>
        <w:t>充分发挥农村基层党组织的引领作用，有效运行村规民约、村民议事会等村民自治机制，</w:t>
      </w:r>
      <w:r>
        <w:rPr>
          <w:rFonts w:hint="eastAsia" w:ascii="仿宋_GB2312" w:hAnsi="仿宋_GB2312" w:eastAsia="仿宋_GB2312" w:cs="仿宋_GB2312"/>
          <w:color w:val="auto"/>
          <w:spacing w:val="0"/>
          <w:kern w:val="0"/>
          <w:sz w:val="32"/>
          <w:szCs w:val="32"/>
          <w:lang w:val="en-US" w:eastAsia="zh-CN" w:bidi="ar-SA"/>
          <w:woUserID w:val="2"/>
        </w:rPr>
        <w:t>在持续改善农村生产生活条件的基础上，着力丰富村民文化供给。畅通民意渠道，及时响应群众诉求，积极引导村民参与建设和监督，增强其主人翁意识和认同感，确保没有重大负面舆情发生，美丽乡村建设成效满意度稳定在90%以上。</w:t>
      </w:r>
    </w:p>
    <w:p w14:paraId="0F9E6D3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rPr>
          <w:rFonts w:hint="eastAsia" w:ascii="仿宋_GB2312" w:hAnsi="Times New Roman" w:eastAsia="仿宋_GB2312" w:cs="Times New Roman"/>
          <w:b w:val="0"/>
          <w:bCs/>
          <w:color w:val="auto"/>
          <w:kern w:val="0"/>
          <w:sz w:val="32"/>
          <w:szCs w:val="32"/>
          <w:lang w:val="en-US" w:eastAsia="zh-CN"/>
        </w:rPr>
      </w:pPr>
      <w:r>
        <w:rPr>
          <w:rFonts w:hint="eastAsia" w:ascii="仿宋_GB2312" w:hAnsi="Times New Roman" w:eastAsia="仿宋_GB2312" w:cs="Times New Roman"/>
          <w:b/>
          <w:color w:val="auto"/>
          <w:kern w:val="0"/>
          <w:sz w:val="32"/>
          <w:szCs w:val="32"/>
          <w:lang w:val="en-US" w:eastAsia="zh-CN"/>
        </w:rPr>
        <w:t>牵头单位：</w:t>
      </w:r>
      <w:r>
        <w:rPr>
          <w:rFonts w:hint="eastAsia" w:ascii="仿宋_GB2312" w:hAnsi="Times New Roman" w:eastAsia="仿宋_GB2312" w:cs="Times New Roman"/>
          <w:b w:val="0"/>
          <w:bCs/>
          <w:color w:val="auto"/>
          <w:kern w:val="0"/>
          <w:sz w:val="32"/>
          <w:szCs w:val="32"/>
          <w:lang w:val="en-US" w:eastAsia="zh-CN"/>
        </w:rPr>
        <w:t>各乡镇</w:t>
      </w:r>
    </w:p>
    <w:p w14:paraId="2E306A3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rPr>
          <w:rFonts w:hint="default" w:ascii="仿宋_GB2312" w:hAnsi="仿宋_GB2312" w:eastAsia="仿宋_GB2312" w:cs="仿宋_GB2312"/>
          <w:color w:val="auto"/>
          <w:spacing w:val="0"/>
          <w:kern w:val="0"/>
          <w:sz w:val="32"/>
          <w:szCs w:val="32"/>
          <w:lang w:val="en-US" w:eastAsia="zh-CN" w:bidi="ar-SA"/>
          <w:woUserID w:val="2"/>
        </w:rPr>
      </w:pPr>
      <w:r>
        <w:rPr>
          <w:rFonts w:hint="eastAsia" w:ascii="仿宋_GB2312" w:hAnsi="Times New Roman" w:eastAsia="仿宋_GB2312" w:cs="Times New Roman"/>
          <w:b/>
          <w:color w:val="auto"/>
          <w:kern w:val="0"/>
          <w:sz w:val="32"/>
          <w:szCs w:val="32"/>
          <w:lang w:val="en-US" w:eastAsia="zh-CN"/>
        </w:rPr>
        <w:t>配合单位：</w:t>
      </w:r>
      <w:r>
        <w:rPr>
          <w:rFonts w:hint="eastAsia" w:ascii="仿宋_GB2312" w:hAnsi="仿宋_GB2312" w:eastAsia="仿宋_GB2312" w:cs="仿宋_GB2312"/>
          <w:color w:val="auto"/>
          <w:spacing w:val="0"/>
          <w:kern w:val="0"/>
          <w:sz w:val="32"/>
          <w:szCs w:val="32"/>
          <w:lang w:val="en-US" w:eastAsia="zh-CN" w:bidi="ar-SA"/>
          <w:woUserID w:val="2"/>
        </w:rPr>
        <w:t>区委网信办、区委社工部、区农业农村局</w:t>
      </w:r>
    </w:p>
    <w:p w14:paraId="32F1347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hint="eastAsia" w:ascii="黑体" w:hAnsi="Times New Roman" w:eastAsia="黑体" w:cs="Times New Roman"/>
          <w:color w:val="auto"/>
          <w:kern w:val="0"/>
          <w:sz w:val="32"/>
          <w:szCs w:val="32"/>
          <w:lang w:val="en-US" w:eastAsia="zh-CN"/>
        </w:rPr>
      </w:pPr>
      <w:r>
        <w:rPr>
          <w:rFonts w:hint="eastAsia" w:ascii="黑体" w:hAnsi="Times New Roman" w:eastAsia="黑体" w:cs="Times New Roman"/>
          <w:color w:val="auto"/>
          <w:kern w:val="0"/>
          <w:sz w:val="32"/>
          <w:szCs w:val="32"/>
          <w:lang w:val="en-US" w:eastAsia="zh-CN"/>
        </w:rPr>
        <w:t>三、组织保障</w:t>
      </w:r>
    </w:p>
    <w:p w14:paraId="0509C07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pacing w:val="0"/>
          <w:kern w:val="0"/>
          <w:sz w:val="32"/>
          <w:szCs w:val="32"/>
          <w:lang w:val="en-US" w:eastAsia="zh-CN"/>
          <w:woUserID w:val="2"/>
        </w:rPr>
        <w:t>加强组织领导，坚持“政府主导、部门指导、乡镇配合”的工作机制，市生态环境局甘州分局会同相关部门，紧密围绕全区实际，强化美丽乡村建设与乡村振兴工作有效衔接，将美丽乡村建设工作纳入全区污染防治攻坚战成效暨筑牢国家西部生态安全屏障考核指标体系，每半年调度一次整区推进美丽乡村建设工作进展情况。各牵头配合单位要切实抓好工作落实，</w:t>
      </w:r>
      <w:r>
        <w:rPr>
          <w:rFonts w:hint="eastAsia" w:ascii="仿宋_GB2312" w:hAnsi="仿宋_GB2312" w:eastAsia="仿宋_GB2312" w:cs="仿宋_GB2312"/>
          <w:color w:val="auto"/>
          <w:sz w:val="32"/>
          <w:szCs w:val="32"/>
          <w:lang w:val="en-US" w:eastAsia="zh-CN"/>
        </w:rPr>
        <w:t>按照指标体系，认真开展自查自评，梳理总结工作成效，查漏补缺，</w:t>
      </w:r>
      <w:r>
        <w:rPr>
          <w:rFonts w:hint="eastAsia" w:ascii="仿宋_GB2312" w:hAnsi="仿宋_GB2312" w:eastAsia="仿宋_GB2312" w:cs="仿宋_GB2312"/>
          <w:color w:val="auto"/>
          <w:spacing w:val="0"/>
          <w:kern w:val="0"/>
          <w:sz w:val="32"/>
          <w:szCs w:val="32"/>
          <w:lang w:val="en-US" w:eastAsia="zh-CN"/>
          <w:woUserID w:val="2"/>
        </w:rPr>
        <w:t>确保各项工作任务落地见效。加大政策支持，积极争取乡村振兴、生态环保、农业农村发展等各类上级资金支持。有序推进美丽乡村创建工作，2026年全面启动首轮美丽乡村先行区创建工作，推动全域美丽乡村建设实现高质量发展，力争于2028年全面完成美丽乡村先行区创建工作。积极宣传引导，</w:t>
      </w:r>
      <w:r>
        <w:rPr>
          <w:rFonts w:hint="eastAsia" w:ascii="仿宋_GB2312" w:hAnsi="仿宋_GB2312" w:eastAsia="仿宋_GB2312" w:cs="仿宋_GB2312"/>
          <w:color w:val="auto"/>
          <w:kern w:val="2"/>
          <w:sz w:val="32"/>
          <w:szCs w:val="32"/>
          <w:lang w:val="en-US" w:eastAsia="zh-CN" w:bidi="ar-SA"/>
        </w:rPr>
        <w:t>充分利用政府门户网站、单位微信公众号等平台，宣传美丽乡村建设成效、典型经验和政策举措，形成全社会关心、支持、参与的良好氛围。</w:t>
      </w:r>
    </w:p>
    <w:p w14:paraId="72D4443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rPr>
          <w:rFonts w:hint="default" w:ascii="仿宋_GB2312" w:hAnsi="仿宋_GB2312" w:eastAsia="仿宋_GB2312" w:cs="仿宋_GB2312"/>
          <w:color w:val="auto"/>
          <w:kern w:val="2"/>
          <w:sz w:val="32"/>
          <w:szCs w:val="32"/>
          <w:lang w:val="en-US" w:eastAsia="zh-CN" w:bidi="ar-SA"/>
        </w:rPr>
      </w:pPr>
    </w:p>
    <w:p w14:paraId="05301298">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baseline"/>
        <w:rPr>
          <w:rFonts w:hint="eastAsia" w:ascii="方正小标宋简体" w:hAnsi="方正小标宋简体" w:eastAsia="方正小标宋简体" w:cs="方正小标宋简体"/>
          <w:color w:val="auto"/>
          <w:kern w:val="2"/>
          <w:sz w:val="44"/>
          <w:szCs w:val="44"/>
          <w:lang w:val="en-US" w:eastAsia="zh-CN" w:bidi="ar-SA"/>
        </w:rPr>
      </w:pPr>
      <w:r>
        <w:rPr>
          <w:rFonts w:hint="eastAsia" w:ascii="仿宋_GB2312" w:hAnsi="仿宋_GB2312" w:eastAsia="仿宋_GB2312" w:cs="仿宋_GB2312"/>
          <w:color w:val="auto"/>
          <w:sz w:val="32"/>
          <w:szCs w:val="32"/>
          <w:lang w:val="en-US" w:eastAsia="zh-CN"/>
        </w:rPr>
        <w:t>附件：整区推进美丽乡村建设指标体系</w:t>
      </w:r>
    </w:p>
    <w:p w14:paraId="03921BB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color w:val="auto"/>
          <w:kern w:val="2"/>
          <w:sz w:val="44"/>
          <w:szCs w:val="44"/>
          <w:lang w:val="en-US" w:eastAsia="zh-CN" w:bidi="ar-SA"/>
        </w:rPr>
      </w:pPr>
    </w:p>
    <w:p w14:paraId="5B9D2DE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p>
    <w:p w14:paraId="7DBE72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p>
    <w:p w14:paraId="61B656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p>
    <w:p w14:paraId="071327A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p>
    <w:p w14:paraId="5188D5F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p>
    <w:p w14:paraId="3BCF3C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p>
    <w:p w14:paraId="6CAB040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color w:val="auto"/>
          <w:kern w:val="2"/>
          <w:sz w:val="44"/>
          <w:szCs w:val="44"/>
          <w:lang w:val="en-US" w:eastAsia="zh-CN" w:bidi="ar-SA"/>
        </w:rPr>
      </w:pPr>
    </w:p>
    <w:p w14:paraId="2FBB7B9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w:t>
      </w:r>
    </w:p>
    <w:p w14:paraId="079EDF9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整区推进美丽乡村建设指标体系</w:t>
      </w:r>
    </w:p>
    <w:p w14:paraId="716B2FD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p>
    <w:tbl>
      <w:tblPr>
        <w:tblStyle w:val="9"/>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094"/>
        <w:gridCol w:w="2589"/>
        <w:gridCol w:w="4268"/>
      </w:tblGrid>
      <w:tr w14:paraId="67423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14:paraId="30B7306B">
            <w:pPr>
              <w:keepNext w:val="0"/>
              <w:keepLines w:val="0"/>
              <w:pageBreakBefore w:val="0"/>
              <w:widowControl/>
              <w:numPr>
                <w:ilvl w:val="0"/>
                <w:numId w:val="0"/>
              </w:numPr>
              <w:wordWrap/>
              <w:overflowPunct/>
              <w:topLinePunct w:val="0"/>
              <w:bidi w:val="0"/>
              <w:spacing w:line="560" w:lineRule="exact"/>
              <w:jc w:val="center"/>
              <w:textAlignment w:val="baseline"/>
              <w:rPr>
                <w:rFonts w:hint="eastAsia" w:ascii="仿宋_GB2312" w:hAnsi="仿宋_GB2312" w:eastAsia="仿宋_GB2312" w:cs="仿宋_GB2312"/>
                <w:b/>
                <w:bCs/>
                <w:color w:val="auto"/>
                <w:sz w:val="32"/>
                <w:szCs w:val="32"/>
                <w:vertAlign w:val="baseline"/>
                <w:lang w:val="en-US" w:eastAsia="zh-CN"/>
              </w:rPr>
            </w:pPr>
            <w:r>
              <w:rPr>
                <w:rFonts w:hint="eastAsia" w:ascii="仿宋_GB2312" w:hAnsi="仿宋_GB2312" w:eastAsia="仿宋_GB2312" w:cs="仿宋_GB2312"/>
                <w:b/>
                <w:bCs/>
                <w:color w:val="auto"/>
                <w:spacing w:val="0"/>
                <w:kern w:val="0"/>
                <w:sz w:val="21"/>
                <w:szCs w:val="21"/>
                <w:lang w:val="en-US" w:eastAsia="zh-CN" w:bidi="ar-SA"/>
                <w:woUserID w:val="2"/>
              </w:rPr>
              <w:t>序号</w:t>
            </w:r>
          </w:p>
        </w:tc>
        <w:tc>
          <w:tcPr>
            <w:tcW w:w="1094" w:type="dxa"/>
            <w:vAlign w:val="center"/>
          </w:tcPr>
          <w:p w14:paraId="6C73A1B0">
            <w:pPr>
              <w:keepNext w:val="0"/>
              <w:keepLines w:val="0"/>
              <w:pageBreakBefore w:val="0"/>
              <w:widowControl/>
              <w:numPr>
                <w:ilvl w:val="0"/>
                <w:numId w:val="0"/>
              </w:numPr>
              <w:wordWrap/>
              <w:overflowPunct/>
              <w:topLinePunct w:val="0"/>
              <w:bidi w:val="0"/>
              <w:spacing w:line="560" w:lineRule="exact"/>
              <w:jc w:val="center"/>
              <w:textAlignment w:val="baseline"/>
              <w:rPr>
                <w:rFonts w:hint="eastAsia" w:ascii="仿宋_GB2312" w:hAnsi="仿宋_GB2312" w:eastAsia="仿宋_GB2312" w:cs="仿宋_GB2312"/>
                <w:b/>
                <w:bCs/>
                <w:color w:val="auto"/>
                <w:sz w:val="32"/>
                <w:szCs w:val="32"/>
                <w:vertAlign w:val="baseline"/>
                <w:lang w:val="en-US" w:eastAsia="zh-CN"/>
              </w:rPr>
            </w:pPr>
            <w:r>
              <w:rPr>
                <w:rFonts w:hint="eastAsia" w:ascii="仿宋_GB2312" w:hAnsi="仿宋_GB2312" w:eastAsia="仿宋_GB2312" w:cs="仿宋_GB2312"/>
                <w:b/>
                <w:bCs/>
                <w:color w:val="auto"/>
                <w:spacing w:val="0"/>
                <w:kern w:val="0"/>
                <w:sz w:val="21"/>
                <w:szCs w:val="21"/>
                <w:lang w:val="en-US" w:eastAsia="zh-CN" w:bidi="ar-SA"/>
                <w:woUserID w:val="2"/>
              </w:rPr>
              <w:t>一级指标</w:t>
            </w:r>
          </w:p>
        </w:tc>
        <w:tc>
          <w:tcPr>
            <w:tcW w:w="2589" w:type="dxa"/>
            <w:vAlign w:val="center"/>
          </w:tcPr>
          <w:p w14:paraId="7AF4B162">
            <w:pPr>
              <w:keepNext w:val="0"/>
              <w:keepLines w:val="0"/>
              <w:pageBreakBefore w:val="0"/>
              <w:widowControl/>
              <w:numPr>
                <w:ilvl w:val="0"/>
                <w:numId w:val="0"/>
              </w:numPr>
              <w:wordWrap/>
              <w:overflowPunct/>
              <w:topLinePunct w:val="0"/>
              <w:bidi w:val="0"/>
              <w:spacing w:line="560" w:lineRule="exact"/>
              <w:jc w:val="center"/>
              <w:textAlignment w:val="baseline"/>
              <w:rPr>
                <w:rFonts w:hint="eastAsia" w:ascii="仿宋_GB2312" w:hAnsi="仿宋_GB2312" w:eastAsia="仿宋_GB2312" w:cs="仿宋_GB2312"/>
                <w:b/>
                <w:bCs/>
                <w:color w:val="auto"/>
                <w:sz w:val="32"/>
                <w:szCs w:val="32"/>
                <w:vertAlign w:val="baseline"/>
                <w:lang w:val="en-US" w:eastAsia="zh-CN"/>
              </w:rPr>
            </w:pPr>
            <w:r>
              <w:rPr>
                <w:rFonts w:hint="eastAsia" w:ascii="仿宋_GB2312" w:hAnsi="仿宋_GB2312" w:eastAsia="仿宋_GB2312" w:cs="仿宋_GB2312"/>
                <w:b/>
                <w:bCs/>
                <w:color w:val="auto"/>
                <w:spacing w:val="0"/>
                <w:kern w:val="0"/>
                <w:sz w:val="21"/>
                <w:szCs w:val="21"/>
                <w:lang w:val="en-US" w:eastAsia="zh-CN" w:bidi="ar-SA"/>
                <w:woUserID w:val="2"/>
              </w:rPr>
              <w:t>二级指标</w:t>
            </w:r>
          </w:p>
        </w:tc>
        <w:tc>
          <w:tcPr>
            <w:tcW w:w="4268" w:type="dxa"/>
            <w:vAlign w:val="center"/>
          </w:tcPr>
          <w:p w14:paraId="3A6B6F8B">
            <w:pPr>
              <w:keepNext w:val="0"/>
              <w:keepLines w:val="0"/>
              <w:pageBreakBefore w:val="0"/>
              <w:widowControl/>
              <w:numPr>
                <w:ilvl w:val="0"/>
                <w:numId w:val="0"/>
              </w:numPr>
              <w:wordWrap/>
              <w:overflowPunct/>
              <w:topLinePunct w:val="0"/>
              <w:bidi w:val="0"/>
              <w:spacing w:line="560" w:lineRule="exact"/>
              <w:jc w:val="center"/>
              <w:textAlignment w:val="baseline"/>
              <w:rPr>
                <w:rFonts w:hint="eastAsia" w:ascii="仿宋_GB2312" w:hAnsi="仿宋_GB2312" w:eastAsia="仿宋_GB2312" w:cs="仿宋_GB2312"/>
                <w:b/>
                <w:bCs/>
                <w:color w:val="auto"/>
                <w:sz w:val="32"/>
                <w:szCs w:val="32"/>
                <w:vertAlign w:val="baseline"/>
                <w:lang w:val="en-US" w:eastAsia="zh-CN"/>
              </w:rPr>
            </w:pPr>
            <w:r>
              <w:rPr>
                <w:rFonts w:hint="eastAsia" w:ascii="仿宋_GB2312" w:hAnsi="仿宋_GB2312" w:eastAsia="仿宋_GB2312" w:cs="仿宋_GB2312"/>
                <w:b/>
                <w:bCs/>
                <w:color w:val="auto"/>
                <w:spacing w:val="0"/>
                <w:kern w:val="0"/>
                <w:sz w:val="21"/>
                <w:szCs w:val="21"/>
                <w:lang w:val="en-US" w:eastAsia="zh-CN" w:bidi="ar-SA"/>
                <w:woUserID w:val="2"/>
              </w:rPr>
              <w:t>指标要求</w:t>
            </w:r>
          </w:p>
        </w:tc>
      </w:tr>
      <w:tr w14:paraId="07EA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690" w:type="dxa"/>
            <w:vAlign w:val="center"/>
          </w:tcPr>
          <w:p w14:paraId="2A13FBB3">
            <w:pPr>
              <w:keepNext w:val="0"/>
              <w:keepLines w:val="0"/>
              <w:pageBreakBefore w:val="0"/>
              <w:widowControl/>
              <w:numPr>
                <w:ilvl w:val="0"/>
                <w:numId w:val="0"/>
              </w:numPr>
              <w:wordWrap/>
              <w:overflowPunct/>
              <w:topLinePunct w:val="0"/>
              <w:bidi w:val="0"/>
              <w:spacing w:line="560" w:lineRule="exact"/>
              <w:jc w:val="center"/>
              <w:textAlignment w:val="baseline"/>
              <w:rPr>
                <w:rFonts w:hint="default" w:ascii="仿宋_GB2312" w:hAnsi="仿宋_GB2312" w:eastAsia="仿宋_GB2312" w:cs="仿宋_GB2312"/>
                <w:b w:val="0"/>
                <w:color w:val="auto"/>
                <w:spacing w:val="0"/>
                <w:kern w:val="0"/>
                <w:sz w:val="21"/>
                <w:szCs w:val="21"/>
                <w:lang w:val="en-US" w:eastAsia="zh-CN" w:bidi="ar-SA"/>
                <w:woUserID w:val="2"/>
              </w:rPr>
            </w:pPr>
            <w:r>
              <w:rPr>
                <w:rFonts w:hint="eastAsia" w:ascii="仿宋_GB2312" w:hAnsi="仿宋_GB2312" w:eastAsia="仿宋_GB2312" w:cs="仿宋_GB2312"/>
                <w:b w:val="0"/>
                <w:color w:val="auto"/>
                <w:spacing w:val="0"/>
                <w:kern w:val="0"/>
                <w:sz w:val="21"/>
                <w:szCs w:val="21"/>
                <w:lang w:val="en-US" w:eastAsia="zh-CN" w:bidi="ar-SA"/>
                <w:woUserID w:val="2"/>
              </w:rPr>
              <w:t>1</w:t>
            </w:r>
          </w:p>
        </w:tc>
        <w:tc>
          <w:tcPr>
            <w:tcW w:w="1094" w:type="dxa"/>
            <w:vMerge w:val="restart"/>
            <w:vAlign w:val="center"/>
          </w:tcPr>
          <w:p w14:paraId="2F64654D">
            <w:pPr>
              <w:keepNext w:val="0"/>
              <w:keepLines w:val="0"/>
              <w:pageBreakBefore w:val="0"/>
              <w:widowControl/>
              <w:numPr>
                <w:ilvl w:val="0"/>
                <w:numId w:val="0"/>
              </w:numPr>
              <w:wordWrap/>
              <w:overflowPunct/>
              <w:topLinePunct w:val="0"/>
              <w:bidi w:val="0"/>
              <w:spacing w:line="560" w:lineRule="exact"/>
              <w:jc w:val="center"/>
              <w:textAlignment w:val="baseline"/>
              <w:rPr>
                <w:rFonts w:hint="eastAsia" w:ascii="仿宋_GB2312" w:hAnsi="仿宋_GB2312" w:eastAsia="仿宋_GB2312" w:cs="仿宋_GB2312"/>
                <w:snapToGrid w:val="0"/>
                <w:color w:val="auto"/>
                <w:kern w:val="0"/>
                <w:sz w:val="24"/>
                <w:szCs w:val="24"/>
                <w:highlight w:val="none"/>
                <w:lang w:val="en-US" w:eastAsia="zh-CN" w:bidi="ar"/>
              </w:rPr>
            </w:pPr>
            <w:r>
              <w:rPr>
                <w:rFonts w:hint="eastAsia" w:ascii="仿宋_GB2312" w:hAnsi="仿宋_GB2312" w:eastAsia="仿宋_GB2312" w:cs="仿宋_GB2312"/>
                <w:b w:val="0"/>
                <w:spacing w:val="0"/>
                <w:kern w:val="0"/>
                <w:sz w:val="21"/>
                <w:szCs w:val="21"/>
                <w:lang w:val="en-US" w:eastAsia="zh-CN" w:bidi="ar-SA"/>
                <w:woUserID w:val="2"/>
              </w:rPr>
              <w:t>农村生态环境质量</w:t>
            </w:r>
          </w:p>
        </w:tc>
        <w:tc>
          <w:tcPr>
            <w:tcW w:w="2589" w:type="dxa"/>
            <w:vAlign w:val="center"/>
          </w:tcPr>
          <w:p w14:paraId="5D03B764">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snapToGrid w:val="0"/>
                <w:color w:val="auto"/>
                <w:kern w:val="0"/>
                <w:sz w:val="24"/>
                <w:szCs w:val="24"/>
                <w:highlight w:val="none"/>
                <w:lang w:val="en-US" w:eastAsia="zh-CN" w:bidi="ar"/>
              </w:rPr>
            </w:pPr>
            <w:r>
              <w:rPr>
                <w:rFonts w:hint="eastAsia" w:ascii="仿宋_GB2312" w:hAnsi="仿宋_GB2312" w:eastAsia="仿宋_GB2312" w:cs="仿宋_GB2312"/>
                <w:snapToGrid w:val="0"/>
                <w:color w:val="auto"/>
                <w:kern w:val="0"/>
                <w:sz w:val="24"/>
                <w:szCs w:val="24"/>
                <w:highlight w:val="none"/>
                <w:lang w:val="en-US" w:eastAsia="zh-CN" w:bidi="ar"/>
              </w:rPr>
              <w:t>农村生活污水治理（管控）率</w:t>
            </w:r>
          </w:p>
        </w:tc>
        <w:tc>
          <w:tcPr>
            <w:tcW w:w="4268" w:type="dxa"/>
            <w:vAlign w:val="center"/>
          </w:tcPr>
          <w:p w14:paraId="73DA0C7B">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snapToGrid w:val="0"/>
                <w:color w:val="auto"/>
                <w:kern w:val="0"/>
                <w:sz w:val="24"/>
                <w:szCs w:val="24"/>
                <w:highlight w:val="none"/>
                <w:lang w:val="en-US" w:eastAsia="zh-CN" w:bidi="ar"/>
              </w:rPr>
            </w:pPr>
            <w:r>
              <w:rPr>
                <w:rFonts w:hint="eastAsia" w:ascii="仿宋_GB2312" w:hAnsi="仿宋_GB2312" w:eastAsia="仿宋_GB2312" w:cs="仿宋_GB2312"/>
                <w:snapToGrid w:val="0"/>
                <w:color w:val="auto"/>
                <w:kern w:val="0"/>
                <w:sz w:val="24"/>
                <w:szCs w:val="24"/>
                <w:highlight w:val="none"/>
                <w:lang w:val="en-US" w:eastAsia="zh-CN" w:bidi="ar"/>
              </w:rPr>
              <w:t>65%以上（2027年以前）</w:t>
            </w:r>
          </w:p>
          <w:p w14:paraId="45AE9FCB">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snapToGrid w:val="0"/>
                <w:color w:val="auto"/>
                <w:kern w:val="0"/>
                <w:sz w:val="24"/>
                <w:szCs w:val="24"/>
                <w:highlight w:val="none"/>
                <w:lang w:val="en-US" w:eastAsia="zh-CN" w:bidi="ar"/>
              </w:rPr>
            </w:pPr>
            <w:r>
              <w:rPr>
                <w:rFonts w:hint="eastAsia" w:ascii="仿宋_GB2312" w:hAnsi="仿宋_GB2312" w:eastAsia="仿宋_GB2312" w:cs="仿宋_GB2312"/>
                <w:snapToGrid w:val="0"/>
                <w:color w:val="auto"/>
                <w:kern w:val="0"/>
                <w:sz w:val="24"/>
                <w:szCs w:val="24"/>
                <w:highlight w:val="none"/>
                <w:lang w:val="en-US" w:eastAsia="zh-CN" w:bidi="ar"/>
              </w:rPr>
              <w:t>80%以上（2028-2035年）</w:t>
            </w:r>
          </w:p>
        </w:tc>
      </w:tr>
      <w:tr w14:paraId="753C2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690" w:type="dxa"/>
            <w:vAlign w:val="center"/>
          </w:tcPr>
          <w:p w14:paraId="2694A8D4">
            <w:pPr>
              <w:keepNext w:val="0"/>
              <w:keepLines w:val="0"/>
              <w:pageBreakBefore w:val="0"/>
              <w:widowControl/>
              <w:numPr>
                <w:ilvl w:val="0"/>
                <w:numId w:val="0"/>
              </w:numPr>
              <w:wordWrap/>
              <w:overflowPunct/>
              <w:topLinePunct w:val="0"/>
              <w:bidi w:val="0"/>
              <w:spacing w:line="560" w:lineRule="exact"/>
              <w:jc w:val="center"/>
              <w:textAlignment w:val="baseline"/>
              <w:rPr>
                <w:rFonts w:hint="default" w:ascii="仿宋_GB2312" w:hAnsi="仿宋_GB2312" w:eastAsia="仿宋_GB2312" w:cs="仿宋_GB2312"/>
                <w:b w:val="0"/>
                <w:color w:val="auto"/>
                <w:spacing w:val="0"/>
                <w:kern w:val="0"/>
                <w:sz w:val="21"/>
                <w:szCs w:val="21"/>
                <w:lang w:val="en-US" w:eastAsia="zh-CN" w:bidi="ar-SA"/>
                <w:woUserID w:val="2"/>
              </w:rPr>
            </w:pPr>
            <w:r>
              <w:rPr>
                <w:rFonts w:hint="eastAsia" w:ascii="仿宋_GB2312" w:hAnsi="仿宋_GB2312" w:eastAsia="仿宋_GB2312" w:cs="仿宋_GB2312"/>
                <w:b w:val="0"/>
                <w:color w:val="auto"/>
                <w:spacing w:val="0"/>
                <w:kern w:val="0"/>
                <w:sz w:val="21"/>
                <w:szCs w:val="21"/>
                <w:lang w:val="en-US" w:eastAsia="zh-CN" w:bidi="ar-SA"/>
                <w:woUserID w:val="2"/>
              </w:rPr>
              <w:t>2</w:t>
            </w:r>
          </w:p>
        </w:tc>
        <w:tc>
          <w:tcPr>
            <w:tcW w:w="1094" w:type="dxa"/>
            <w:vMerge w:val="continue"/>
            <w:vAlign w:val="center"/>
          </w:tcPr>
          <w:p w14:paraId="6EE46FFF">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snapToGrid w:val="0"/>
                <w:color w:val="auto"/>
                <w:kern w:val="0"/>
                <w:sz w:val="24"/>
                <w:szCs w:val="24"/>
                <w:highlight w:val="none"/>
                <w:lang w:val="en-US" w:eastAsia="zh-CN" w:bidi="ar"/>
              </w:rPr>
            </w:pPr>
          </w:p>
        </w:tc>
        <w:tc>
          <w:tcPr>
            <w:tcW w:w="2589" w:type="dxa"/>
            <w:vAlign w:val="center"/>
          </w:tcPr>
          <w:p w14:paraId="4E3A2DE3">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snapToGrid w:val="0"/>
                <w:color w:val="auto"/>
                <w:kern w:val="0"/>
                <w:sz w:val="24"/>
                <w:szCs w:val="24"/>
                <w:highlight w:val="none"/>
                <w:lang w:val="en-US" w:eastAsia="zh-CN" w:bidi="ar"/>
              </w:rPr>
            </w:pPr>
            <w:r>
              <w:rPr>
                <w:rFonts w:hint="eastAsia" w:ascii="仿宋_GB2312" w:hAnsi="仿宋_GB2312" w:eastAsia="仿宋_GB2312" w:cs="仿宋_GB2312"/>
                <w:snapToGrid w:val="0"/>
                <w:color w:val="auto"/>
                <w:kern w:val="0"/>
                <w:sz w:val="24"/>
                <w:szCs w:val="24"/>
                <w:highlight w:val="none"/>
                <w:lang w:val="en-US" w:eastAsia="zh-CN" w:bidi="ar"/>
              </w:rPr>
              <w:t>农村生活垃圾</w:t>
            </w:r>
          </w:p>
        </w:tc>
        <w:tc>
          <w:tcPr>
            <w:tcW w:w="4268" w:type="dxa"/>
            <w:vAlign w:val="center"/>
          </w:tcPr>
          <w:p w14:paraId="3AEC8A3D">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snapToGrid w:val="0"/>
                <w:color w:val="auto"/>
                <w:kern w:val="0"/>
                <w:sz w:val="24"/>
                <w:szCs w:val="24"/>
                <w:highlight w:val="none"/>
                <w:lang w:val="en-US" w:eastAsia="zh-CN" w:bidi="ar"/>
              </w:rPr>
            </w:pPr>
            <w:r>
              <w:rPr>
                <w:rFonts w:hint="eastAsia" w:ascii="仿宋_GB2312" w:hAnsi="仿宋_GB2312" w:eastAsia="仿宋_GB2312" w:cs="仿宋_GB2312"/>
                <w:snapToGrid w:val="0"/>
                <w:color w:val="auto"/>
                <w:kern w:val="0"/>
                <w:sz w:val="24"/>
                <w:szCs w:val="24"/>
                <w:highlight w:val="none"/>
                <w:lang w:val="en-US" w:eastAsia="zh-CN" w:bidi="ar"/>
              </w:rPr>
              <w:t>有效治理</w:t>
            </w:r>
          </w:p>
        </w:tc>
      </w:tr>
      <w:tr w14:paraId="19412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vAlign w:val="center"/>
          </w:tcPr>
          <w:p w14:paraId="0A27E9FC">
            <w:pPr>
              <w:keepNext w:val="0"/>
              <w:keepLines w:val="0"/>
              <w:pageBreakBefore w:val="0"/>
              <w:widowControl/>
              <w:numPr>
                <w:ilvl w:val="0"/>
                <w:numId w:val="0"/>
              </w:numPr>
              <w:wordWrap/>
              <w:overflowPunct/>
              <w:topLinePunct w:val="0"/>
              <w:bidi w:val="0"/>
              <w:spacing w:line="560" w:lineRule="exact"/>
              <w:jc w:val="center"/>
              <w:textAlignment w:val="baseline"/>
              <w:rPr>
                <w:rFonts w:hint="default" w:ascii="仿宋_GB2312" w:hAnsi="仿宋_GB2312" w:eastAsia="仿宋_GB2312" w:cs="仿宋_GB2312"/>
                <w:b w:val="0"/>
                <w:color w:val="auto"/>
                <w:spacing w:val="0"/>
                <w:kern w:val="0"/>
                <w:sz w:val="21"/>
                <w:szCs w:val="21"/>
                <w:lang w:val="en-US" w:eastAsia="zh-CN" w:bidi="ar-SA"/>
                <w:woUserID w:val="2"/>
              </w:rPr>
            </w:pPr>
            <w:r>
              <w:rPr>
                <w:rFonts w:hint="eastAsia" w:ascii="仿宋_GB2312" w:hAnsi="仿宋_GB2312" w:eastAsia="仿宋_GB2312" w:cs="仿宋_GB2312"/>
                <w:b w:val="0"/>
                <w:color w:val="auto"/>
                <w:spacing w:val="0"/>
                <w:kern w:val="0"/>
                <w:sz w:val="21"/>
                <w:szCs w:val="21"/>
                <w:lang w:val="en-US" w:eastAsia="zh-CN" w:bidi="ar-SA"/>
                <w:woUserID w:val="2"/>
              </w:rPr>
              <w:t>3</w:t>
            </w:r>
          </w:p>
        </w:tc>
        <w:tc>
          <w:tcPr>
            <w:tcW w:w="1094" w:type="dxa"/>
            <w:vMerge w:val="continue"/>
            <w:vAlign w:val="center"/>
          </w:tcPr>
          <w:p w14:paraId="01AD26CA">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snapToGrid w:val="0"/>
                <w:color w:val="auto"/>
                <w:kern w:val="0"/>
                <w:sz w:val="24"/>
                <w:szCs w:val="24"/>
                <w:highlight w:val="none"/>
                <w:lang w:val="en-US" w:eastAsia="zh-CN" w:bidi="ar"/>
              </w:rPr>
            </w:pPr>
          </w:p>
        </w:tc>
        <w:tc>
          <w:tcPr>
            <w:tcW w:w="2589" w:type="dxa"/>
            <w:vAlign w:val="center"/>
          </w:tcPr>
          <w:p w14:paraId="55790A98">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snapToGrid w:val="0"/>
                <w:color w:val="auto"/>
                <w:kern w:val="0"/>
                <w:sz w:val="24"/>
                <w:szCs w:val="24"/>
                <w:highlight w:val="none"/>
                <w:lang w:val="en-US" w:eastAsia="zh-CN" w:bidi="ar"/>
              </w:rPr>
            </w:pPr>
            <w:r>
              <w:rPr>
                <w:rFonts w:hint="eastAsia" w:ascii="仿宋_GB2312" w:hAnsi="仿宋_GB2312" w:eastAsia="仿宋_GB2312" w:cs="仿宋_GB2312"/>
                <w:snapToGrid w:val="0"/>
                <w:color w:val="auto"/>
                <w:kern w:val="0"/>
                <w:sz w:val="24"/>
                <w:szCs w:val="24"/>
                <w:highlight w:val="none"/>
                <w:lang w:val="en-US" w:eastAsia="zh-CN" w:bidi="ar"/>
              </w:rPr>
              <w:t>农村黑臭水体</w:t>
            </w:r>
          </w:p>
        </w:tc>
        <w:tc>
          <w:tcPr>
            <w:tcW w:w="4268" w:type="dxa"/>
            <w:vAlign w:val="center"/>
          </w:tcPr>
          <w:p w14:paraId="62A70D33">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snapToGrid w:val="0"/>
                <w:color w:val="auto"/>
                <w:kern w:val="0"/>
                <w:sz w:val="24"/>
                <w:szCs w:val="24"/>
                <w:highlight w:val="none"/>
                <w:lang w:val="en-US" w:eastAsia="zh-CN" w:bidi="ar"/>
              </w:rPr>
            </w:pPr>
            <w:r>
              <w:rPr>
                <w:rFonts w:hint="eastAsia" w:ascii="仿宋_GB2312" w:hAnsi="仿宋_GB2312" w:eastAsia="仿宋_GB2312" w:cs="仿宋_GB2312"/>
                <w:snapToGrid w:val="0"/>
                <w:color w:val="auto"/>
                <w:kern w:val="0"/>
                <w:sz w:val="24"/>
                <w:szCs w:val="24"/>
                <w:highlight w:val="none"/>
                <w:lang w:val="en-US" w:eastAsia="zh-CN" w:bidi="ar"/>
              </w:rPr>
              <w:t>基本消除</w:t>
            </w:r>
          </w:p>
        </w:tc>
      </w:tr>
      <w:tr w14:paraId="0F197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14:paraId="32BC41D7">
            <w:pPr>
              <w:keepNext w:val="0"/>
              <w:keepLines w:val="0"/>
              <w:pageBreakBefore w:val="0"/>
              <w:widowControl/>
              <w:numPr>
                <w:ilvl w:val="0"/>
                <w:numId w:val="0"/>
              </w:numPr>
              <w:wordWrap/>
              <w:overflowPunct/>
              <w:topLinePunct w:val="0"/>
              <w:bidi w:val="0"/>
              <w:spacing w:line="560" w:lineRule="exact"/>
              <w:jc w:val="center"/>
              <w:textAlignment w:val="baseline"/>
              <w:rPr>
                <w:rFonts w:hint="default" w:ascii="仿宋_GB2312" w:hAnsi="仿宋_GB2312" w:eastAsia="仿宋_GB2312" w:cs="仿宋_GB2312"/>
                <w:b w:val="0"/>
                <w:color w:val="auto"/>
                <w:spacing w:val="0"/>
                <w:kern w:val="0"/>
                <w:sz w:val="21"/>
                <w:szCs w:val="21"/>
                <w:lang w:val="en-US" w:eastAsia="zh-CN" w:bidi="ar-SA"/>
                <w:woUserID w:val="2"/>
              </w:rPr>
            </w:pPr>
            <w:r>
              <w:rPr>
                <w:rFonts w:hint="eastAsia" w:ascii="仿宋_GB2312" w:hAnsi="仿宋_GB2312" w:eastAsia="仿宋_GB2312" w:cs="仿宋_GB2312"/>
                <w:b w:val="0"/>
                <w:color w:val="auto"/>
                <w:spacing w:val="0"/>
                <w:kern w:val="0"/>
                <w:sz w:val="21"/>
                <w:szCs w:val="21"/>
                <w:lang w:val="en-US" w:eastAsia="zh-CN" w:bidi="ar-SA"/>
                <w:woUserID w:val="2"/>
              </w:rPr>
              <w:t>4</w:t>
            </w:r>
          </w:p>
        </w:tc>
        <w:tc>
          <w:tcPr>
            <w:tcW w:w="1094" w:type="dxa"/>
            <w:vMerge w:val="continue"/>
            <w:vAlign w:val="center"/>
          </w:tcPr>
          <w:p w14:paraId="79591395">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snapToGrid w:val="0"/>
                <w:color w:val="auto"/>
                <w:kern w:val="0"/>
                <w:sz w:val="24"/>
                <w:szCs w:val="24"/>
                <w:highlight w:val="none"/>
                <w:lang w:val="en-US" w:eastAsia="zh-CN" w:bidi="ar"/>
              </w:rPr>
            </w:pPr>
          </w:p>
        </w:tc>
        <w:tc>
          <w:tcPr>
            <w:tcW w:w="2589" w:type="dxa"/>
            <w:vAlign w:val="center"/>
          </w:tcPr>
          <w:p w14:paraId="7DA3C896">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snapToGrid w:val="0"/>
                <w:color w:val="auto"/>
                <w:kern w:val="0"/>
                <w:sz w:val="24"/>
                <w:szCs w:val="24"/>
                <w:highlight w:val="none"/>
                <w:lang w:val="en-US" w:eastAsia="zh-CN" w:bidi="ar"/>
              </w:rPr>
            </w:pPr>
            <w:r>
              <w:rPr>
                <w:rFonts w:hint="eastAsia" w:ascii="仿宋_GB2312" w:hAnsi="仿宋_GB2312" w:eastAsia="仿宋_GB2312" w:cs="仿宋_GB2312"/>
                <w:snapToGrid w:val="0"/>
                <w:color w:val="auto"/>
                <w:kern w:val="0"/>
                <w:sz w:val="24"/>
                <w:szCs w:val="24"/>
                <w:highlight w:val="none"/>
                <w:lang w:val="en-US" w:eastAsia="zh-CN" w:bidi="ar"/>
              </w:rPr>
              <w:t>畜禽养殖污染</w:t>
            </w:r>
          </w:p>
        </w:tc>
        <w:tc>
          <w:tcPr>
            <w:tcW w:w="4268" w:type="dxa"/>
            <w:vAlign w:val="center"/>
          </w:tcPr>
          <w:p w14:paraId="64E8C5FA">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snapToGrid w:val="0"/>
                <w:color w:val="auto"/>
                <w:kern w:val="0"/>
                <w:sz w:val="24"/>
                <w:szCs w:val="24"/>
                <w:highlight w:val="none"/>
                <w:lang w:val="en-US" w:eastAsia="zh-CN" w:bidi="ar"/>
              </w:rPr>
            </w:pPr>
            <w:r>
              <w:rPr>
                <w:rFonts w:hint="eastAsia" w:ascii="仿宋_GB2312" w:hAnsi="仿宋_GB2312" w:eastAsia="仿宋_GB2312" w:cs="仿宋_GB2312"/>
                <w:snapToGrid w:val="0"/>
                <w:color w:val="auto"/>
                <w:kern w:val="0"/>
                <w:sz w:val="24"/>
                <w:szCs w:val="24"/>
                <w:highlight w:val="none"/>
                <w:lang w:val="en-US" w:eastAsia="zh-CN" w:bidi="ar"/>
              </w:rPr>
              <w:t>属实的重复信访举报一年不超过3起</w:t>
            </w:r>
          </w:p>
        </w:tc>
      </w:tr>
      <w:tr w14:paraId="1EDA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14:paraId="1CE2D94E">
            <w:pPr>
              <w:keepNext w:val="0"/>
              <w:keepLines w:val="0"/>
              <w:pageBreakBefore w:val="0"/>
              <w:widowControl/>
              <w:numPr>
                <w:ilvl w:val="0"/>
                <w:numId w:val="0"/>
              </w:numPr>
              <w:wordWrap/>
              <w:overflowPunct/>
              <w:topLinePunct w:val="0"/>
              <w:bidi w:val="0"/>
              <w:spacing w:line="560" w:lineRule="exact"/>
              <w:jc w:val="center"/>
              <w:textAlignment w:val="baseline"/>
              <w:rPr>
                <w:rFonts w:hint="default" w:ascii="仿宋_GB2312" w:hAnsi="仿宋_GB2312" w:eastAsia="仿宋_GB2312" w:cs="仿宋_GB2312"/>
                <w:b w:val="0"/>
                <w:color w:val="auto"/>
                <w:spacing w:val="0"/>
                <w:kern w:val="0"/>
                <w:sz w:val="21"/>
                <w:szCs w:val="21"/>
                <w:lang w:val="en-US" w:eastAsia="zh-CN" w:bidi="ar-SA"/>
                <w:woUserID w:val="2"/>
              </w:rPr>
            </w:pPr>
            <w:r>
              <w:rPr>
                <w:rFonts w:hint="eastAsia" w:ascii="仿宋_GB2312" w:hAnsi="仿宋_GB2312" w:eastAsia="仿宋_GB2312" w:cs="仿宋_GB2312"/>
                <w:b w:val="0"/>
                <w:color w:val="auto"/>
                <w:spacing w:val="0"/>
                <w:kern w:val="0"/>
                <w:sz w:val="21"/>
                <w:szCs w:val="21"/>
                <w:lang w:val="en-US" w:eastAsia="zh-CN" w:bidi="ar-SA"/>
                <w:woUserID w:val="2"/>
              </w:rPr>
              <w:t>5</w:t>
            </w:r>
          </w:p>
        </w:tc>
        <w:tc>
          <w:tcPr>
            <w:tcW w:w="1094" w:type="dxa"/>
            <w:vMerge w:val="continue"/>
            <w:vAlign w:val="center"/>
          </w:tcPr>
          <w:p w14:paraId="29740FBD">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snapToGrid w:val="0"/>
                <w:color w:val="auto"/>
                <w:kern w:val="0"/>
                <w:sz w:val="24"/>
                <w:szCs w:val="24"/>
                <w:highlight w:val="none"/>
                <w:lang w:val="en-US" w:eastAsia="zh-CN" w:bidi="ar"/>
              </w:rPr>
            </w:pPr>
          </w:p>
        </w:tc>
        <w:tc>
          <w:tcPr>
            <w:tcW w:w="2589" w:type="dxa"/>
            <w:vAlign w:val="center"/>
          </w:tcPr>
          <w:p w14:paraId="645886FE">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snapToGrid w:val="0"/>
                <w:color w:val="auto"/>
                <w:kern w:val="0"/>
                <w:sz w:val="24"/>
                <w:szCs w:val="24"/>
                <w:highlight w:val="none"/>
                <w:lang w:val="en-US" w:eastAsia="zh-CN" w:bidi="ar"/>
              </w:rPr>
            </w:pPr>
            <w:r>
              <w:rPr>
                <w:rFonts w:hint="eastAsia" w:ascii="仿宋_GB2312" w:hAnsi="仿宋_GB2312" w:eastAsia="仿宋_GB2312" w:cs="仿宋_GB2312"/>
                <w:snapToGrid w:val="0"/>
                <w:color w:val="auto"/>
                <w:kern w:val="0"/>
                <w:sz w:val="24"/>
                <w:szCs w:val="24"/>
                <w:highlight w:val="none"/>
                <w:lang w:val="en-US" w:eastAsia="zh-CN" w:bidi="ar"/>
              </w:rPr>
              <w:t>水土保持率</w:t>
            </w:r>
          </w:p>
        </w:tc>
        <w:tc>
          <w:tcPr>
            <w:tcW w:w="4268" w:type="dxa"/>
            <w:vAlign w:val="center"/>
          </w:tcPr>
          <w:p w14:paraId="6DF8659E">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snapToGrid w:val="0"/>
                <w:color w:val="auto"/>
                <w:kern w:val="0"/>
                <w:sz w:val="24"/>
                <w:szCs w:val="24"/>
                <w:highlight w:val="none"/>
                <w:lang w:val="en-US" w:eastAsia="zh-CN" w:bidi="ar"/>
              </w:rPr>
            </w:pPr>
            <w:r>
              <w:rPr>
                <w:rFonts w:hint="eastAsia" w:ascii="仿宋_GB2312" w:hAnsi="仿宋_GB2312" w:eastAsia="仿宋_GB2312" w:cs="仿宋_GB2312"/>
                <w:snapToGrid w:val="0"/>
                <w:color w:val="auto"/>
                <w:kern w:val="0"/>
                <w:sz w:val="24"/>
                <w:szCs w:val="24"/>
                <w:highlight w:val="none"/>
                <w:lang w:val="en-US" w:eastAsia="zh-CN" w:bidi="ar"/>
              </w:rPr>
              <w:t>达到省级分解到县级的水土保持率目标值</w:t>
            </w:r>
          </w:p>
        </w:tc>
      </w:tr>
      <w:tr w14:paraId="662CA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14:paraId="655C7B87">
            <w:pPr>
              <w:keepNext w:val="0"/>
              <w:keepLines w:val="0"/>
              <w:pageBreakBefore w:val="0"/>
              <w:widowControl/>
              <w:numPr>
                <w:ilvl w:val="0"/>
                <w:numId w:val="0"/>
              </w:numPr>
              <w:wordWrap/>
              <w:overflowPunct/>
              <w:topLinePunct w:val="0"/>
              <w:bidi w:val="0"/>
              <w:spacing w:line="560" w:lineRule="exact"/>
              <w:jc w:val="center"/>
              <w:textAlignment w:val="baseline"/>
              <w:rPr>
                <w:rFonts w:hint="default" w:ascii="仿宋_GB2312" w:hAnsi="仿宋_GB2312" w:eastAsia="仿宋_GB2312" w:cs="仿宋_GB2312"/>
                <w:b w:val="0"/>
                <w:color w:val="auto"/>
                <w:spacing w:val="0"/>
                <w:kern w:val="0"/>
                <w:sz w:val="21"/>
                <w:szCs w:val="21"/>
                <w:lang w:val="en-US" w:eastAsia="zh-CN" w:bidi="ar-SA"/>
                <w:woUserID w:val="2"/>
              </w:rPr>
            </w:pPr>
            <w:r>
              <w:rPr>
                <w:rFonts w:hint="eastAsia" w:ascii="仿宋_GB2312" w:hAnsi="仿宋_GB2312" w:eastAsia="仿宋_GB2312" w:cs="仿宋_GB2312"/>
                <w:b w:val="0"/>
                <w:color w:val="auto"/>
                <w:spacing w:val="0"/>
                <w:kern w:val="0"/>
                <w:sz w:val="21"/>
                <w:szCs w:val="21"/>
                <w:lang w:val="en-US" w:eastAsia="zh-CN" w:bidi="ar-SA"/>
                <w:woUserID w:val="2"/>
              </w:rPr>
              <w:t>6</w:t>
            </w:r>
          </w:p>
        </w:tc>
        <w:tc>
          <w:tcPr>
            <w:tcW w:w="1094" w:type="dxa"/>
            <w:vMerge w:val="continue"/>
            <w:vAlign w:val="center"/>
          </w:tcPr>
          <w:p w14:paraId="2D5EF8D9">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snapToGrid w:val="0"/>
                <w:color w:val="auto"/>
                <w:kern w:val="0"/>
                <w:sz w:val="24"/>
                <w:szCs w:val="24"/>
                <w:highlight w:val="none"/>
                <w:lang w:val="en-US" w:eastAsia="zh-CN" w:bidi="ar"/>
              </w:rPr>
            </w:pPr>
          </w:p>
        </w:tc>
        <w:tc>
          <w:tcPr>
            <w:tcW w:w="2589" w:type="dxa"/>
            <w:vAlign w:val="center"/>
          </w:tcPr>
          <w:p w14:paraId="1A1A1B54">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snapToGrid w:val="0"/>
                <w:color w:val="auto"/>
                <w:kern w:val="0"/>
                <w:sz w:val="24"/>
                <w:szCs w:val="24"/>
                <w:highlight w:val="none"/>
                <w:lang w:val="en-US" w:eastAsia="zh-CN" w:bidi="ar"/>
              </w:rPr>
            </w:pPr>
            <w:r>
              <w:rPr>
                <w:rFonts w:hint="eastAsia" w:ascii="仿宋_GB2312" w:hAnsi="仿宋_GB2312" w:eastAsia="仿宋_GB2312" w:cs="仿宋_GB2312"/>
                <w:snapToGrid w:val="0"/>
                <w:color w:val="auto"/>
                <w:kern w:val="0"/>
                <w:sz w:val="24"/>
                <w:szCs w:val="24"/>
                <w:highlight w:val="none"/>
                <w:lang w:val="en-US" w:eastAsia="zh-CN" w:bidi="ar"/>
              </w:rPr>
              <w:t>生态清洁小流域建设及乡村河湖长效管护</w:t>
            </w:r>
          </w:p>
        </w:tc>
        <w:tc>
          <w:tcPr>
            <w:tcW w:w="4268" w:type="dxa"/>
            <w:vAlign w:val="center"/>
          </w:tcPr>
          <w:p w14:paraId="1DFBB55B">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snapToGrid w:val="0"/>
                <w:color w:val="auto"/>
                <w:kern w:val="0"/>
                <w:sz w:val="24"/>
                <w:szCs w:val="24"/>
                <w:highlight w:val="none"/>
                <w:lang w:val="en-US" w:eastAsia="zh-CN" w:bidi="ar"/>
              </w:rPr>
            </w:pPr>
            <w:r>
              <w:rPr>
                <w:rFonts w:hint="eastAsia" w:ascii="仿宋_GB2312" w:hAnsi="仿宋_GB2312" w:eastAsia="仿宋_GB2312" w:cs="仿宋_GB2312"/>
                <w:snapToGrid w:val="0"/>
                <w:color w:val="auto"/>
                <w:kern w:val="0"/>
                <w:sz w:val="24"/>
                <w:szCs w:val="24"/>
                <w:highlight w:val="none"/>
                <w:lang w:val="en-US" w:eastAsia="zh-CN" w:bidi="ar"/>
              </w:rPr>
              <w:t>适宜区域基本建成，乡村河湖长效管护机制基本建立并有效落实</w:t>
            </w:r>
          </w:p>
        </w:tc>
      </w:tr>
      <w:tr w14:paraId="2B4F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90" w:type="dxa"/>
            <w:vAlign w:val="center"/>
          </w:tcPr>
          <w:p w14:paraId="4B5F37C1">
            <w:pPr>
              <w:keepNext w:val="0"/>
              <w:keepLines w:val="0"/>
              <w:pageBreakBefore w:val="0"/>
              <w:widowControl/>
              <w:numPr>
                <w:ilvl w:val="0"/>
                <w:numId w:val="0"/>
              </w:numPr>
              <w:wordWrap/>
              <w:overflowPunct/>
              <w:topLinePunct w:val="0"/>
              <w:bidi w:val="0"/>
              <w:spacing w:line="560" w:lineRule="exact"/>
              <w:jc w:val="center"/>
              <w:textAlignment w:val="baseline"/>
              <w:rPr>
                <w:rFonts w:hint="default" w:ascii="仿宋_GB2312" w:hAnsi="仿宋_GB2312" w:eastAsia="仿宋_GB2312" w:cs="仿宋_GB2312"/>
                <w:b w:val="0"/>
                <w:color w:val="auto"/>
                <w:spacing w:val="0"/>
                <w:kern w:val="0"/>
                <w:sz w:val="21"/>
                <w:szCs w:val="21"/>
                <w:lang w:val="en-US" w:eastAsia="zh-CN" w:bidi="ar-SA"/>
                <w:woUserID w:val="2"/>
              </w:rPr>
            </w:pPr>
            <w:r>
              <w:rPr>
                <w:rFonts w:hint="eastAsia" w:ascii="仿宋_GB2312" w:hAnsi="仿宋_GB2312" w:eastAsia="仿宋_GB2312" w:cs="仿宋_GB2312"/>
                <w:b w:val="0"/>
                <w:color w:val="auto"/>
                <w:spacing w:val="0"/>
                <w:kern w:val="0"/>
                <w:sz w:val="21"/>
                <w:szCs w:val="21"/>
                <w:lang w:val="en-US" w:eastAsia="zh-CN" w:bidi="ar-SA"/>
                <w:woUserID w:val="2"/>
              </w:rPr>
              <w:t>7</w:t>
            </w:r>
          </w:p>
        </w:tc>
        <w:tc>
          <w:tcPr>
            <w:tcW w:w="1094" w:type="dxa"/>
            <w:vMerge w:val="continue"/>
            <w:vAlign w:val="center"/>
          </w:tcPr>
          <w:p w14:paraId="42FD58AF">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snapToGrid w:val="0"/>
                <w:color w:val="auto"/>
                <w:kern w:val="0"/>
                <w:sz w:val="24"/>
                <w:szCs w:val="24"/>
                <w:highlight w:val="none"/>
                <w:lang w:val="en-US" w:eastAsia="zh-CN" w:bidi="ar"/>
              </w:rPr>
            </w:pPr>
          </w:p>
        </w:tc>
        <w:tc>
          <w:tcPr>
            <w:tcW w:w="2589" w:type="dxa"/>
            <w:vAlign w:val="center"/>
          </w:tcPr>
          <w:p w14:paraId="6AD9D709">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snapToGrid w:val="0"/>
                <w:color w:val="auto"/>
                <w:kern w:val="0"/>
                <w:sz w:val="24"/>
                <w:szCs w:val="24"/>
                <w:highlight w:val="none"/>
                <w:lang w:val="en-US" w:eastAsia="zh-CN" w:bidi="ar"/>
              </w:rPr>
            </w:pPr>
            <w:r>
              <w:rPr>
                <w:rFonts w:hint="eastAsia" w:ascii="仿宋_GB2312" w:hAnsi="仿宋_GB2312" w:eastAsia="仿宋_GB2312" w:cs="仿宋_GB2312"/>
                <w:snapToGrid w:val="0"/>
                <w:color w:val="auto"/>
                <w:kern w:val="0"/>
                <w:sz w:val="24"/>
                <w:szCs w:val="24"/>
                <w:highlight w:val="none"/>
                <w:lang w:val="en-US" w:eastAsia="zh-CN" w:bidi="ar"/>
              </w:rPr>
              <w:t>生态质量指数（EQI）</w:t>
            </w:r>
          </w:p>
        </w:tc>
        <w:tc>
          <w:tcPr>
            <w:tcW w:w="4268" w:type="dxa"/>
            <w:vAlign w:val="center"/>
          </w:tcPr>
          <w:p w14:paraId="023E4BE8">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snapToGrid w:val="0"/>
                <w:color w:val="auto"/>
                <w:kern w:val="0"/>
                <w:sz w:val="24"/>
                <w:szCs w:val="24"/>
                <w:highlight w:val="none"/>
                <w:lang w:val="en-US" w:eastAsia="zh-CN" w:bidi="ar"/>
              </w:rPr>
            </w:pPr>
            <w:r>
              <w:rPr>
                <w:rFonts w:hint="eastAsia" w:ascii="仿宋_GB2312" w:hAnsi="仿宋_GB2312" w:eastAsia="仿宋_GB2312" w:cs="仿宋_GB2312"/>
                <w:snapToGrid w:val="0"/>
                <w:color w:val="auto"/>
                <w:kern w:val="0"/>
                <w:sz w:val="24"/>
                <w:szCs w:val="24"/>
                <w:highlight w:val="none"/>
                <w:lang w:val="en-US" w:eastAsia="zh-CN" w:bidi="ar"/>
              </w:rPr>
              <w:t>∆EQI&gt;-1</w:t>
            </w:r>
          </w:p>
        </w:tc>
      </w:tr>
      <w:tr w14:paraId="52F05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90" w:type="dxa"/>
            <w:vAlign w:val="center"/>
          </w:tcPr>
          <w:p w14:paraId="04BCC9E5">
            <w:pPr>
              <w:keepNext w:val="0"/>
              <w:keepLines w:val="0"/>
              <w:pageBreakBefore w:val="0"/>
              <w:widowControl/>
              <w:numPr>
                <w:ilvl w:val="0"/>
                <w:numId w:val="0"/>
              </w:numPr>
              <w:wordWrap/>
              <w:overflowPunct/>
              <w:topLinePunct w:val="0"/>
              <w:bidi w:val="0"/>
              <w:spacing w:line="560" w:lineRule="exact"/>
              <w:jc w:val="center"/>
              <w:textAlignment w:val="baseline"/>
              <w:rPr>
                <w:rFonts w:hint="default" w:ascii="仿宋_GB2312" w:hAnsi="仿宋_GB2312" w:eastAsia="仿宋_GB2312" w:cs="仿宋_GB2312"/>
                <w:b w:val="0"/>
                <w:color w:val="auto"/>
                <w:spacing w:val="0"/>
                <w:kern w:val="0"/>
                <w:sz w:val="21"/>
                <w:szCs w:val="21"/>
                <w:lang w:val="en-US" w:eastAsia="zh-CN" w:bidi="ar-SA"/>
                <w:woUserID w:val="2"/>
              </w:rPr>
            </w:pPr>
            <w:r>
              <w:rPr>
                <w:rFonts w:hint="eastAsia" w:ascii="仿宋_GB2312" w:hAnsi="仿宋_GB2312" w:eastAsia="仿宋_GB2312" w:cs="仿宋_GB2312"/>
                <w:b w:val="0"/>
                <w:color w:val="auto"/>
                <w:spacing w:val="0"/>
                <w:kern w:val="0"/>
                <w:sz w:val="21"/>
                <w:szCs w:val="21"/>
                <w:lang w:val="en-US" w:eastAsia="zh-CN" w:bidi="ar-SA"/>
                <w:woUserID w:val="2"/>
              </w:rPr>
              <w:t>8</w:t>
            </w:r>
          </w:p>
        </w:tc>
        <w:tc>
          <w:tcPr>
            <w:tcW w:w="1094" w:type="dxa"/>
            <w:vMerge w:val="restart"/>
            <w:vAlign w:val="center"/>
          </w:tcPr>
          <w:p w14:paraId="7C6EA37B">
            <w:pPr>
              <w:keepNext w:val="0"/>
              <w:keepLines w:val="0"/>
              <w:pageBreakBefore w:val="0"/>
              <w:widowControl/>
              <w:numPr>
                <w:ilvl w:val="0"/>
                <w:numId w:val="0"/>
              </w:numPr>
              <w:wordWrap/>
              <w:overflowPunct/>
              <w:topLinePunct w:val="0"/>
              <w:bidi w:val="0"/>
              <w:spacing w:line="560" w:lineRule="exact"/>
              <w:jc w:val="center"/>
              <w:textAlignment w:val="baseline"/>
              <w:rPr>
                <w:rFonts w:hint="eastAsia" w:ascii="仿宋_GB2312" w:hAnsi="仿宋_GB2312" w:eastAsia="仿宋_GB2312" w:cs="仿宋_GB2312"/>
                <w:snapToGrid w:val="0"/>
                <w:color w:val="auto"/>
                <w:kern w:val="0"/>
                <w:sz w:val="24"/>
                <w:szCs w:val="24"/>
                <w:highlight w:val="none"/>
                <w:lang w:val="en-US" w:eastAsia="zh-CN" w:bidi="ar"/>
              </w:rPr>
            </w:pPr>
            <w:r>
              <w:rPr>
                <w:rFonts w:hint="eastAsia" w:ascii="仿宋_GB2312" w:hAnsi="仿宋_GB2312" w:eastAsia="仿宋_GB2312" w:cs="仿宋_GB2312"/>
                <w:b w:val="0"/>
                <w:spacing w:val="0"/>
                <w:kern w:val="0"/>
                <w:sz w:val="21"/>
                <w:szCs w:val="21"/>
                <w:lang w:val="en-US" w:eastAsia="zh-CN" w:bidi="ar-SA"/>
                <w:woUserID w:val="2"/>
              </w:rPr>
              <w:t>农业绿色低碳发展</w:t>
            </w:r>
          </w:p>
        </w:tc>
        <w:tc>
          <w:tcPr>
            <w:tcW w:w="2589" w:type="dxa"/>
            <w:vAlign w:val="center"/>
          </w:tcPr>
          <w:p w14:paraId="486B5ED8">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snapToGrid w:val="0"/>
                <w:color w:val="auto"/>
                <w:kern w:val="0"/>
                <w:sz w:val="24"/>
                <w:szCs w:val="24"/>
                <w:highlight w:val="none"/>
                <w:lang w:val="en-US" w:eastAsia="zh-CN" w:bidi="ar"/>
              </w:rPr>
            </w:pPr>
            <w:r>
              <w:rPr>
                <w:rFonts w:hint="eastAsia" w:ascii="仿宋_GB2312" w:hAnsi="仿宋_GB2312" w:eastAsia="仿宋_GB2312" w:cs="仿宋_GB2312"/>
                <w:snapToGrid w:val="0"/>
                <w:color w:val="auto"/>
                <w:kern w:val="0"/>
                <w:sz w:val="24"/>
                <w:szCs w:val="24"/>
                <w:highlight w:val="none"/>
                <w:lang w:val="en-US" w:eastAsia="zh-CN" w:bidi="ar"/>
              </w:rPr>
              <w:t>耕地土壤有机质含量</w:t>
            </w:r>
          </w:p>
        </w:tc>
        <w:tc>
          <w:tcPr>
            <w:tcW w:w="4268" w:type="dxa"/>
            <w:vAlign w:val="center"/>
          </w:tcPr>
          <w:p w14:paraId="27F16824">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snapToGrid w:val="0"/>
                <w:color w:val="auto"/>
                <w:kern w:val="0"/>
                <w:sz w:val="24"/>
                <w:szCs w:val="24"/>
                <w:highlight w:val="none"/>
                <w:lang w:val="en-US" w:eastAsia="zh-CN" w:bidi="ar"/>
              </w:rPr>
            </w:pPr>
            <w:r>
              <w:rPr>
                <w:rFonts w:hint="eastAsia" w:ascii="仿宋_GB2312" w:hAnsi="仿宋_GB2312" w:eastAsia="仿宋_GB2312" w:cs="仿宋_GB2312"/>
                <w:snapToGrid w:val="0"/>
                <w:color w:val="auto"/>
                <w:kern w:val="0"/>
                <w:sz w:val="24"/>
                <w:szCs w:val="24"/>
                <w:highlight w:val="none"/>
                <w:lang w:val="en-US" w:eastAsia="zh-CN" w:bidi="ar"/>
              </w:rPr>
              <w:t>基本稳定或提高</w:t>
            </w:r>
          </w:p>
        </w:tc>
      </w:tr>
      <w:tr w14:paraId="52239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14:paraId="227FBA7E">
            <w:pPr>
              <w:keepNext w:val="0"/>
              <w:keepLines w:val="0"/>
              <w:pageBreakBefore w:val="0"/>
              <w:widowControl/>
              <w:numPr>
                <w:ilvl w:val="0"/>
                <w:numId w:val="0"/>
              </w:numPr>
              <w:wordWrap/>
              <w:overflowPunct/>
              <w:topLinePunct w:val="0"/>
              <w:bidi w:val="0"/>
              <w:spacing w:line="560" w:lineRule="exact"/>
              <w:jc w:val="center"/>
              <w:textAlignment w:val="baseline"/>
              <w:rPr>
                <w:rFonts w:hint="default" w:ascii="仿宋_GB2312" w:hAnsi="仿宋_GB2312" w:eastAsia="仿宋_GB2312" w:cs="仿宋_GB2312"/>
                <w:b w:val="0"/>
                <w:color w:val="auto"/>
                <w:spacing w:val="0"/>
                <w:kern w:val="0"/>
                <w:sz w:val="21"/>
                <w:szCs w:val="21"/>
                <w:lang w:val="en-US" w:eastAsia="zh-CN" w:bidi="ar-SA"/>
                <w:woUserID w:val="2"/>
              </w:rPr>
            </w:pPr>
            <w:r>
              <w:rPr>
                <w:rFonts w:hint="eastAsia" w:ascii="仿宋_GB2312" w:hAnsi="仿宋_GB2312" w:eastAsia="仿宋_GB2312" w:cs="仿宋_GB2312"/>
                <w:b w:val="0"/>
                <w:color w:val="auto"/>
                <w:spacing w:val="0"/>
                <w:kern w:val="0"/>
                <w:sz w:val="21"/>
                <w:szCs w:val="21"/>
                <w:lang w:val="en-US" w:eastAsia="zh-CN" w:bidi="ar-SA"/>
                <w:woUserID w:val="2"/>
              </w:rPr>
              <w:t>9</w:t>
            </w:r>
          </w:p>
        </w:tc>
        <w:tc>
          <w:tcPr>
            <w:tcW w:w="1094" w:type="dxa"/>
            <w:vMerge w:val="continue"/>
            <w:vAlign w:val="center"/>
          </w:tcPr>
          <w:p w14:paraId="3C1429B4">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snapToGrid w:val="0"/>
                <w:color w:val="auto"/>
                <w:kern w:val="0"/>
                <w:sz w:val="24"/>
                <w:szCs w:val="24"/>
                <w:highlight w:val="none"/>
                <w:lang w:val="en-US" w:eastAsia="zh-CN" w:bidi="ar"/>
              </w:rPr>
            </w:pPr>
          </w:p>
        </w:tc>
        <w:tc>
          <w:tcPr>
            <w:tcW w:w="2589" w:type="dxa"/>
            <w:vAlign w:val="center"/>
          </w:tcPr>
          <w:p w14:paraId="212C9002">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snapToGrid w:val="0"/>
                <w:color w:val="auto"/>
                <w:kern w:val="0"/>
                <w:sz w:val="24"/>
                <w:szCs w:val="24"/>
                <w:highlight w:val="none"/>
                <w:lang w:val="en-US" w:eastAsia="zh-CN" w:bidi="ar"/>
              </w:rPr>
            </w:pPr>
            <w:r>
              <w:rPr>
                <w:rFonts w:hint="eastAsia" w:ascii="仿宋_GB2312" w:hAnsi="仿宋_GB2312" w:eastAsia="仿宋_GB2312" w:cs="仿宋_GB2312"/>
                <w:snapToGrid w:val="0"/>
                <w:color w:val="auto"/>
                <w:kern w:val="0"/>
                <w:sz w:val="24"/>
                <w:szCs w:val="24"/>
                <w:highlight w:val="none"/>
                <w:lang w:val="en-US" w:eastAsia="zh-CN" w:bidi="ar"/>
              </w:rPr>
              <w:t>农药包装废弃物回收率</w:t>
            </w:r>
          </w:p>
        </w:tc>
        <w:tc>
          <w:tcPr>
            <w:tcW w:w="4268" w:type="dxa"/>
            <w:vAlign w:val="center"/>
          </w:tcPr>
          <w:p w14:paraId="63430297">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snapToGrid w:val="0"/>
                <w:color w:val="auto"/>
                <w:kern w:val="0"/>
                <w:sz w:val="24"/>
                <w:szCs w:val="24"/>
                <w:highlight w:val="none"/>
                <w:lang w:val="en-US" w:eastAsia="zh-CN" w:bidi="ar"/>
              </w:rPr>
            </w:pPr>
            <w:r>
              <w:rPr>
                <w:rFonts w:hint="eastAsia" w:ascii="仿宋_GB2312" w:hAnsi="仿宋_GB2312" w:eastAsia="仿宋_GB2312" w:cs="仿宋_GB2312"/>
                <w:snapToGrid w:val="0"/>
                <w:color w:val="auto"/>
                <w:kern w:val="0"/>
                <w:sz w:val="24"/>
                <w:szCs w:val="24"/>
                <w:highlight w:val="none"/>
                <w:lang w:val="en-US" w:eastAsia="zh-CN" w:bidi="ar"/>
              </w:rPr>
              <w:t>80%以上（到2027年）</w:t>
            </w:r>
          </w:p>
          <w:p w14:paraId="2566C55E">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snapToGrid w:val="0"/>
                <w:color w:val="auto"/>
                <w:kern w:val="0"/>
                <w:sz w:val="24"/>
                <w:szCs w:val="24"/>
                <w:highlight w:val="none"/>
                <w:lang w:val="en-US" w:eastAsia="zh-CN" w:bidi="ar"/>
              </w:rPr>
            </w:pPr>
            <w:r>
              <w:rPr>
                <w:rFonts w:hint="eastAsia" w:ascii="仿宋_GB2312" w:hAnsi="仿宋_GB2312" w:eastAsia="仿宋_GB2312" w:cs="仿宋_GB2312"/>
                <w:snapToGrid w:val="0"/>
                <w:color w:val="auto"/>
                <w:kern w:val="0"/>
                <w:sz w:val="24"/>
                <w:szCs w:val="24"/>
                <w:highlight w:val="none"/>
                <w:lang w:val="en-US" w:eastAsia="zh-CN" w:bidi="ar"/>
              </w:rPr>
              <w:t>90%以上（到2035年）</w:t>
            </w:r>
          </w:p>
        </w:tc>
      </w:tr>
      <w:tr w14:paraId="2003A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690" w:type="dxa"/>
            <w:vAlign w:val="center"/>
          </w:tcPr>
          <w:p w14:paraId="5F690BAD">
            <w:pPr>
              <w:keepNext w:val="0"/>
              <w:keepLines w:val="0"/>
              <w:pageBreakBefore w:val="0"/>
              <w:widowControl/>
              <w:numPr>
                <w:ilvl w:val="0"/>
                <w:numId w:val="0"/>
              </w:numPr>
              <w:wordWrap/>
              <w:overflowPunct/>
              <w:topLinePunct w:val="0"/>
              <w:bidi w:val="0"/>
              <w:spacing w:line="560" w:lineRule="exact"/>
              <w:jc w:val="center"/>
              <w:textAlignment w:val="baseline"/>
              <w:rPr>
                <w:rFonts w:hint="default" w:ascii="仿宋_GB2312" w:hAnsi="仿宋_GB2312" w:eastAsia="仿宋_GB2312" w:cs="仿宋_GB2312"/>
                <w:b w:val="0"/>
                <w:color w:val="auto"/>
                <w:spacing w:val="0"/>
                <w:kern w:val="0"/>
                <w:sz w:val="21"/>
                <w:szCs w:val="21"/>
                <w:lang w:val="en-US" w:eastAsia="zh-CN" w:bidi="ar-SA"/>
                <w:woUserID w:val="2"/>
              </w:rPr>
            </w:pPr>
            <w:r>
              <w:rPr>
                <w:rFonts w:hint="eastAsia" w:ascii="仿宋_GB2312" w:hAnsi="仿宋_GB2312" w:eastAsia="仿宋_GB2312" w:cs="仿宋_GB2312"/>
                <w:b w:val="0"/>
                <w:color w:val="auto"/>
                <w:spacing w:val="0"/>
                <w:kern w:val="0"/>
                <w:sz w:val="21"/>
                <w:szCs w:val="21"/>
                <w:lang w:val="en-US" w:eastAsia="zh-CN" w:bidi="ar-SA"/>
                <w:woUserID w:val="2"/>
              </w:rPr>
              <w:t>10</w:t>
            </w:r>
          </w:p>
        </w:tc>
        <w:tc>
          <w:tcPr>
            <w:tcW w:w="1094" w:type="dxa"/>
            <w:vMerge w:val="continue"/>
            <w:vAlign w:val="center"/>
          </w:tcPr>
          <w:p w14:paraId="6E9DED21">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snapToGrid w:val="0"/>
                <w:color w:val="auto"/>
                <w:kern w:val="0"/>
                <w:sz w:val="24"/>
                <w:szCs w:val="24"/>
                <w:highlight w:val="none"/>
                <w:lang w:val="en-US" w:eastAsia="zh-CN" w:bidi="ar"/>
              </w:rPr>
            </w:pPr>
          </w:p>
        </w:tc>
        <w:tc>
          <w:tcPr>
            <w:tcW w:w="2589" w:type="dxa"/>
            <w:vAlign w:val="center"/>
          </w:tcPr>
          <w:p w14:paraId="376DB06D">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snapToGrid w:val="0"/>
                <w:color w:val="auto"/>
                <w:kern w:val="0"/>
                <w:sz w:val="24"/>
                <w:szCs w:val="24"/>
                <w:highlight w:val="none"/>
                <w:lang w:val="en-US" w:eastAsia="zh-CN" w:bidi="ar"/>
              </w:rPr>
            </w:pPr>
            <w:r>
              <w:rPr>
                <w:rFonts w:hint="eastAsia" w:ascii="仿宋_GB2312" w:hAnsi="仿宋_GB2312" w:eastAsia="仿宋_GB2312" w:cs="仿宋_GB2312"/>
                <w:snapToGrid w:val="0"/>
                <w:color w:val="auto"/>
                <w:kern w:val="0"/>
                <w:sz w:val="24"/>
                <w:szCs w:val="24"/>
                <w:highlight w:val="none"/>
                <w:lang w:val="en-US" w:eastAsia="zh-CN" w:bidi="ar"/>
              </w:rPr>
              <w:t>农膜生产使用和回收处置</w:t>
            </w:r>
          </w:p>
        </w:tc>
        <w:tc>
          <w:tcPr>
            <w:tcW w:w="4268" w:type="dxa"/>
            <w:vAlign w:val="center"/>
          </w:tcPr>
          <w:p w14:paraId="5C4D0093">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snapToGrid w:val="0"/>
                <w:color w:val="auto"/>
                <w:kern w:val="0"/>
                <w:sz w:val="24"/>
                <w:szCs w:val="24"/>
                <w:highlight w:val="none"/>
                <w:lang w:val="en-US" w:eastAsia="zh-CN" w:bidi="ar"/>
              </w:rPr>
            </w:pPr>
            <w:r>
              <w:rPr>
                <w:rFonts w:hint="eastAsia" w:ascii="仿宋_GB2312" w:hAnsi="仿宋_GB2312" w:eastAsia="仿宋_GB2312" w:cs="仿宋_GB2312"/>
                <w:snapToGrid w:val="0"/>
                <w:color w:val="auto"/>
                <w:kern w:val="0"/>
                <w:sz w:val="24"/>
                <w:szCs w:val="24"/>
                <w:highlight w:val="none"/>
                <w:lang w:val="en-US" w:eastAsia="zh-CN" w:bidi="ar"/>
              </w:rPr>
              <w:t>基本消除违规生产、销售、使用农膜现象。农膜产品质量省级监督抽查，不合格产品发现率≤7%</w:t>
            </w:r>
          </w:p>
        </w:tc>
      </w:tr>
      <w:tr w14:paraId="00EEA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14:paraId="5A44B583">
            <w:pPr>
              <w:keepNext w:val="0"/>
              <w:keepLines w:val="0"/>
              <w:pageBreakBefore w:val="0"/>
              <w:widowControl/>
              <w:numPr>
                <w:ilvl w:val="0"/>
                <w:numId w:val="0"/>
              </w:numPr>
              <w:wordWrap/>
              <w:overflowPunct/>
              <w:topLinePunct w:val="0"/>
              <w:bidi w:val="0"/>
              <w:spacing w:line="560" w:lineRule="exact"/>
              <w:jc w:val="center"/>
              <w:textAlignment w:val="baseline"/>
              <w:rPr>
                <w:rFonts w:hint="default" w:ascii="仿宋_GB2312" w:hAnsi="仿宋_GB2312" w:eastAsia="仿宋_GB2312" w:cs="仿宋_GB2312"/>
                <w:b w:val="0"/>
                <w:color w:val="auto"/>
                <w:spacing w:val="0"/>
                <w:kern w:val="0"/>
                <w:sz w:val="21"/>
                <w:szCs w:val="21"/>
                <w:lang w:val="en-US" w:eastAsia="zh-CN" w:bidi="ar-SA"/>
                <w:woUserID w:val="2"/>
              </w:rPr>
            </w:pPr>
            <w:r>
              <w:rPr>
                <w:rFonts w:hint="eastAsia" w:ascii="仿宋_GB2312" w:hAnsi="仿宋_GB2312" w:eastAsia="仿宋_GB2312" w:cs="仿宋_GB2312"/>
                <w:b w:val="0"/>
                <w:color w:val="auto"/>
                <w:spacing w:val="0"/>
                <w:kern w:val="0"/>
                <w:sz w:val="21"/>
                <w:szCs w:val="21"/>
                <w:lang w:val="en-US" w:eastAsia="zh-CN" w:bidi="ar-SA"/>
                <w:woUserID w:val="2"/>
              </w:rPr>
              <w:t>11</w:t>
            </w:r>
          </w:p>
        </w:tc>
        <w:tc>
          <w:tcPr>
            <w:tcW w:w="1094" w:type="dxa"/>
            <w:vMerge w:val="continue"/>
            <w:vAlign w:val="center"/>
          </w:tcPr>
          <w:p w14:paraId="773C07D1">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snapToGrid w:val="0"/>
                <w:color w:val="auto"/>
                <w:kern w:val="0"/>
                <w:sz w:val="24"/>
                <w:szCs w:val="24"/>
                <w:highlight w:val="none"/>
                <w:lang w:val="en-US" w:eastAsia="zh-CN" w:bidi="ar"/>
              </w:rPr>
            </w:pPr>
          </w:p>
        </w:tc>
        <w:tc>
          <w:tcPr>
            <w:tcW w:w="2589" w:type="dxa"/>
            <w:vAlign w:val="center"/>
          </w:tcPr>
          <w:p w14:paraId="4BFD911C">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snapToGrid w:val="0"/>
                <w:color w:val="auto"/>
                <w:kern w:val="0"/>
                <w:sz w:val="24"/>
                <w:szCs w:val="24"/>
                <w:highlight w:val="none"/>
                <w:lang w:val="en-US" w:eastAsia="zh-CN" w:bidi="ar"/>
              </w:rPr>
            </w:pPr>
            <w:r>
              <w:rPr>
                <w:rFonts w:hint="eastAsia" w:ascii="仿宋_GB2312" w:hAnsi="仿宋_GB2312" w:eastAsia="仿宋_GB2312" w:cs="仿宋_GB2312"/>
                <w:snapToGrid w:val="0"/>
                <w:color w:val="auto"/>
                <w:kern w:val="0"/>
                <w:sz w:val="24"/>
                <w:szCs w:val="24"/>
                <w:highlight w:val="none"/>
                <w:lang w:val="en-US" w:eastAsia="zh-CN" w:bidi="ar"/>
              </w:rPr>
              <w:t>秸秆利用和管控</w:t>
            </w:r>
          </w:p>
        </w:tc>
        <w:tc>
          <w:tcPr>
            <w:tcW w:w="4268" w:type="dxa"/>
            <w:vAlign w:val="center"/>
          </w:tcPr>
          <w:p w14:paraId="434F01A1">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snapToGrid w:val="0"/>
                <w:color w:val="auto"/>
                <w:kern w:val="0"/>
                <w:sz w:val="24"/>
                <w:szCs w:val="24"/>
                <w:highlight w:val="none"/>
                <w:lang w:val="en-US" w:eastAsia="zh-CN" w:bidi="ar"/>
              </w:rPr>
            </w:pPr>
            <w:r>
              <w:rPr>
                <w:rFonts w:hint="eastAsia" w:ascii="仿宋_GB2312" w:hAnsi="仿宋_GB2312" w:eastAsia="仿宋_GB2312" w:cs="仿宋_GB2312"/>
                <w:snapToGrid w:val="0"/>
                <w:color w:val="auto"/>
                <w:kern w:val="0"/>
                <w:sz w:val="24"/>
                <w:szCs w:val="24"/>
                <w:highlight w:val="none"/>
                <w:lang w:val="en-US" w:eastAsia="zh-CN" w:bidi="ar"/>
              </w:rPr>
              <w:t>秸秆综合利用率2027年稳定在90%以上，2035年稳定在91%以上。基本消除因秸秆集中焚烧引发重污染天气情况</w:t>
            </w:r>
          </w:p>
        </w:tc>
      </w:tr>
      <w:tr w14:paraId="70669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14:paraId="14FBE90A">
            <w:pPr>
              <w:keepNext w:val="0"/>
              <w:keepLines w:val="0"/>
              <w:pageBreakBefore w:val="0"/>
              <w:widowControl/>
              <w:numPr>
                <w:ilvl w:val="0"/>
                <w:numId w:val="0"/>
              </w:numPr>
              <w:wordWrap/>
              <w:overflowPunct/>
              <w:topLinePunct w:val="0"/>
              <w:bidi w:val="0"/>
              <w:spacing w:line="560" w:lineRule="exact"/>
              <w:jc w:val="center"/>
              <w:textAlignment w:val="baseline"/>
              <w:rPr>
                <w:rFonts w:hint="default" w:ascii="仿宋_GB2312" w:hAnsi="仿宋_GB2312" w:eastAsia="仿宋_GB2312" w:cs="仿宋_GB2312"/>
                <w:b w:val="0"/>
                <w:color w:val="auto"/>
                <w:spacing w:val="0"/>
                <w:kern w:val="0"/>
                <w:sz w:val="21"/>
                <w:szCs w:val="21"/>
                <w:lang w:val="en-US" w:eastAsia="zh-CN" w:bidi="ar-SA"/>
                <w:woUserID w:val="2"/>
              </w:rPr>
            </w:pPr>
            <w:r>
              <w:rPr>
                <w:rFonts w:hint="eastAsia" w:ascii="仿宋_GB2312" w:hAnsi="仿宋_GB2312" w:eastAsia="仿宋_GB2312" w:cs="仿宋_GB2312"/>
                <w:b w:val="0"/>
                <w:color w:val="auto"/>
                <w:spacing w:val="0"/>
                <w:kern w:val="0"/>
                <w:sz w:val="21"/>
                <w:szCs w:val="21"/>
                <w:lang w:val="en-US" w:eastAsia="zh-CN" w:bidi="ar-SA"/>
                <w:woUserID w:val="2"/>
              </w:rPr>
              <w:t>12</w:t>
            </w:r>
          </w:p>
        </w:tc>
        <w:tc>
          <w:tcPr>
            <w:tcW w:w="1094" w:type="dxa"/>
            <w:vMerge w:val="continue"/>
            <w:vAlign w:val="center"/>
          </w:tcPr>
          <w:p w14:paraId="7313E18E">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snapToGrid w:val="0"/>
                <w:color w:val="auto"/>
                <w:kern w:val="0"/>
                <w:sz w:val="24"/>
                <w:szCs w:val="24"/>
                <w:highlight w:val="none"/>
                <w:lang w:val="en-US" w:eastAsia="zh-CN" w:bidi="ar"/>
              </w:rPr>
            </w:pPr>
          </w:p>
        </w:tc>
        <w:tc>
          <w:tcPr>
            <w:tcW w:w="2589" w:type="dxa"/>
            <w:vAlign w:val="center"/>
          </w:tcPr>
          <w:p w14:paraId="2D5A92D9">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snapToGrid w:val="0"/>
                <w:color w:val="auto"/>
                <w:kern w:val="0"/>
                <w:sz w:val="24"/>
                <w:szCs w:val="24"/>
                <w:highlight w:val="none"/>
                <w:lang w:val="en-US" w:eastAsia="zh-CN" w:bidi="ar"/>
              </w:rPr>
            </w:pPr>
            <w:r>
              <w:rPr>
                <w:rFonts w:hint="eastAsia" w:ascii="仿宋_GB2312" w:hAnsi="仿宋_GB2312" w:eastAsia="仿宋_GB2312" w:cs="仿宋_GB2312"/>
                <w:snapToGrid w:val="0"/>
                <w:color w:val="auto"/>
                <w:kern w:val="0"/>
                <w:sz w:val="24"/>
                <w:szCs w:val="24"/>
                <w:highlight w:val="none"/>
                <w:lang w:val="en-US" w:eastAsia="zh-CN" w:bidi="ar"/>
              </w:rPr>
              <w:t>尾菜处理利用率</w:t>
            </w:r>
          </w:p>
        </w:tc>
        <w:tc>
          <w:tcPr>
            <w:tcW w:w="4268" w:type="dxa"/>
            <w:vAlign w:val="center"/>
          </w:tcPr>
          <w:p w14:paraId="7D0E1853">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snapToGrid w:val="0"/>
                <w:color w:val="auto"/>
                <w:kern w:val="0"/>
                <w:sz w:val="24"/>
                <w:szCs w:val="24"/>
                <w:highlight w:val="none"/>
                <w:lang w:val="en-US" w:eastAsia="zh-CN" w:bidi="ar"/>
              </w:rPr>
            </w:pPr>
            <w:r>
              <w:rPr>
                <w:rFonts w:hint="eastAsia" w:ascii="仿宋_GB2312" w:hAnsi="仿宋_GB2312" w:eastAsia="仿宋_GB2312" w:cs="仿宋_GB2312"/>
                <w:snapToGrid w:val="0"/>
                <w:color w:val="auto"/>
                <w:kern w:val="0"/>
                <w:sz w:val="24"/>
                <w:szCs w:val="24"/>
                <w:highlight w:val="none"/>
                <w:lang w:val="en-US" w:eastAsia="zh-CN" w:bidi="ar"/>
              </w:rPr>
              <w:t>尾菜处理利用率2027年达到60%以上，2035年达到75%以上</w:t>
            </w:r>
          </w:p>
        </w:tc>
      </w:tr>
      <w:tr w14:paraId="17AFA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14:paraId="1E2B0DCC">
            <w:pPr>
              <w:keepNext w:val="0"/>
              <w:keepLines w:val="0"/>
              <w:pageBreakBefore w:val="0"/>
              <w:widowControl/>
              <w:numPr>
                <w:ilvl w:val="0"/>
                <w:numId w:val="0"/>
              </w:numPr>
              <w:wordWrap/>
              <w:overflowPunct/>
              <w:topLinePunct w:val="0"/>
              <w:bidi w:val="0"/>
              <w:spacing w:line="560" w:lineRule="exact"/>
              <w:jc w:val="center"/>
              <w:textAlignment w:val="baseline"/>
              <w:rPr>
                <w:rFonts w:hint="default" w:ascii="仿宋_GB2312" w:hAnsi="仿宋_GB2312" w:eastAsia="仿宋_GB2312" w:cs="仿宋_GB2312"/>
                <w:b w:val="0"/>
                <w:color w:val="auto"/>
                <w:spacing w:val="0"/>
                <w:kern w:val="0"/>
                <w:sz w:val="21"/>
                <w:szCs w:val="21"/>
                <w:lang w:val="en-US" w:eastAsia="zh-CN" w:bidi="ar-SA"/>
                <w:woUserID w:val="2"/>
              </w:rPr>
            </w:pPr>
            <w:r>
              <w:rPr>
                <w:rFonts w:hint="eastAsia" w:ascii="仿宋_GB2312" w:hAnsi="仿宋_GB2312" w:eastAsia="仿宋_GB2312" w:cs="仿宋_GB2312"/>
                <w:b w:val="0"/>
                <w:color w:val="auto"/>
                <w:spacing w:val="0"/>
                <w:kern w:val="0"/>
                <w:sz w:val="21"/>
                <w:szCs w:val="21"/>
                <w:lang w:val="en-US" w:eastAsia="zh-CN" w:bidi="ar-SA"/>
                <w:woUserID w:val="2"/>
              </w:rPr>
              <w:t>13</w:t>
            </w:r>
          </w:p>
        </w:tc>
        <w:tc>
          <w:tcPr>
            <w:tcW w:w="1094" w:type="dxa"/>
            <w:vMerge w:val="restart"/>
            <w:vAlign w:val="center"/>
          </w:tcPr>
          <w:p w14:paraId="09BC0ADC">
            <w:pPr>
              <w:keepNext w:val="0"/>
              <w:keepLines w:val="0"/>
              <w:pageBreakBefore w:val="0"/>
              <w:widowControl/>
              <w:numPr>
                <w:ilvl w:val="0"/>
                <w:numId w:val="0"/>
              </w:numPr>
              <w:wordWrap/>
              <w:overflowPunct/>
              <w:topLinePunct w:val="0"/>
              <w:bidi w:val="0"/>
              <w:spacing w:line="560" w:lineRule="exact"/>
              <w:jc w:val="center"/>
              <w:textAlignment w:val="baseline"/>
              <w:rPr>
                <w:rFonts w:hint="eastAsia" w:ascii="仿宋_GB2312" w:hAnsi="仿宋_GB2312" w:eastAsia="仿宋_GB2312" w:cs="仿宋_GB2312"/>
                <w:snapToGrid w:val="0"/>
                <w:color w:val="auto"/>
                <w:kern w:val="0"/>
                <w:sz w:val="24"/>
                <w:szCs w:val="24"/>
                <w:highlight w:val="none"/>
                <w:lang w:val="en-US" w:eastAsia="zh-CN" w:bidi="ar"/>
              </w:rPr>
            </w:pPr>
            <w:r>
              <w:rPr>
                <w:rFonts w:hint="eastAsia" w:ascii="仿宋_GB2312" w:hAnsi="仿宋_GB2312" w:eastAsia="仿宋_GB2312" w:cs="仿宋_GB2312"/>
                <w:b w:val="0"/>
                <w:spacing w:val="0"/>
                <w:kern w:val="0"/>
                <w:sz w:val="21"/>
                <w:szCs w:val="21"/>
                <w:lang w:val="en-US" w:eastAsia="zh-CN" w:bidi="ar-SA"/>
                <w:woUserID w:val="2"/>
              </w:rPr>
              <w:t>农村幸福宜居品质</w:t>
            </w:r>
          </w:p>
        </w:tc>
        <w:tc>
          <w:tcPr>
            <w:tcW w:w="2589" w:type="dxa"/>
            <w:vAlign w:val="center"/>
          </w:tcPr>
          <w:p w14:paraId="6A4E86CF">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snapToGrid w:val="0"/>
                <w:color w:val="auto"/>
                <w:kern w:val="0"/>
                <w:sz w:val="24"/>
                <w:szCs w:val="24"/>
                <w:highlight w:val="none"/>
                <w:lang w:val="en-US" w:eastAsia="zh-CN" w:bidi="ar"/>
              </w:rPr>
            </w:pPr>
            <w:r>
              <w:rPr>
                <w:rFonts w:hint="eastAsia" w:ascii="仿宋_GB2312" w:hAnsi="仿宋_GB2312" w:eastAsia="仿宋_GB2312" w:cs="仿宋_GB2312"/>
                <w:snapToGrid w:val="0"/>
                <w:color w:val="auto"/>
                <w:kern w:val="0"/>
                <w:sz w:val="24"/>
                <w:szCs w:val="24"/>
                <w:highlight w:val="none"/>
                <w:lang w:val="en-US" w:eastAsia="zh-CN" w:bidi="ar"/>
              </w:rPr>
              <w:t>乡村形态</w:t>
            </w:r>
          </w:p>
        </w:tc>
        <w:tc>
          <w:tcPr>
            <w:tcW w:w="4268" w:type="dxa"/>
            <w:vAlign w:val="center"/>
          </w:tcPr>
          <w:p w14:paraId="3B6491EB">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snapToGrid w:val="0"/>
                <w:color w:val="auto"/>
                <w:kern w:val="0"/>
                <w:sz w:val="24"/>
                <w:szCs w:val="24"/>
                <w:highlight w:val="none"/>
                <w:lang w:val="en-US" w:eastAsia="zh-CN" w:bidi="ar"/>
              </w:rPr>
            </w:pPr>
            <w:r>
              <w:rPr>
                <w:rFonts w:hint="eastAsia" w:ascii="仿宋_GB2312" w:hAnsi="仿宋_GB2312" w:eastAsia="仿宋_GB2312" w:cs="仿宋_GB2312"/>
                <w:snapToGrid w:val="0"/>
                <w:color w:val="auto"/>
                <w:kern w:val="0"/>
                <w:sz w:val="24"/>
                <w:szCs w:val="24"/>
                <w:highlight w:val="none"/>
                <w:lang w:val="en-US" w:eastAsia="zh-CN" w:bidi="ar"/>
              </w:rPr>
              <w:t>集中建设区域整洁有序</w:t>
            </w:r>
          </w:p>
        </w:tc>
      </w:tr>
      <w:tr w14:paraId="09B4D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14:paraId="1C3304A6">
            <w:pPr>
              <w:keepNext w:val="0"/>
              <w:keepLines w:val="0"/>
              <w:pageBreakBefore w:val="0"/>
              <w:widowControl/>
              <w:numPr>
                <w:ilvl w:val="0"/>
                <w:numId w:val="0"/>
              </w:numPr>
              <w:wordWrap/>
              <w:overflowPunct/>
              <w:topLinePunct w:val="0"/>
              <w:bidi w:val="0"/>
              <w:spacing w:line="560" w:lineRule="exact"/>
              <w:jc w:val="center"/>
              <w:textAlignment w:val="baseline"/>
              <w:rPr>
                <w:rFonts w:hint="default" w:ascii="仿宋_GB2312" w:hAnsi="仿宋_GB2312" w:eastAsia="仿宋_GB2312" w:cs="仿宋_GB2312"/>
                <w:b w:val="0"/>
                <w:color w:val="auto"/>
                <w:spacing w:val="0"/>
                <w:kern w:val="0"/>
                <w:sz w:val="21"/>
                <w:szCs w:val="21"/>
                <w:lang w:val="en-US" w:eastAsia="zh-CN" w:bidi="ar-SA"/>
                <w:woUserID w:val="2"/>
              </w:rPr>
            </w:pPr>
            <w:r>
              <w:rPr>
                <w:rFonts w:hint="eastAsia" w:ascii="仿宋_GB2312" w:hAnsi="仿宋_GB2312" w:eastAsia="仿宋_GB2312" w:cs="仿宋_GB2312"/>
                <w:b w:val="0"/>
                <w:color w:val="auto"/>
                <w:spacing w:val="0"/>
                <w:kern w:val="0"/>
                <w:sz w:val="21"/>
                <w:szCs w:val="21"/>
                <w:lang w:val="en-US" w:eastAsia="zh-CN" w:bidi="ar-SA"/>
                <w:woUserID w:val="2"/>
              </w:rPr>
              <w:t>14</w:t>
            </w:r>
          </w:p>
        </w:tc>
        <w:tc>
          <w:tcPr>
            <w:tcW w:w="1094" w:type="dxa"/>
            <w:vMerge w:val="continue"/>
            <w:vAlign w:val="center"/>
          </w:tcPr>
          <w:p w14:paraId="6820E716">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snapToGrid w:val="0"/>
                <w:color w:val="auto"/>
                <w:kern w:val="0"/>
                <w:sz w:val="24"/>
                <w:szCs w:val="24"/>
                <w:highlight w:val="none"/>
                <w:lang w:val="en-US" w:eastAsia="zh-CN" w:bidi="ar"/>
              </w:rPr>
            </w:pPr>
          </w:p>
        </w:tc>
        <w:tc>
          <w:tcPr>
            <w:tcW w:w="2589" w:type="dxa"/>
            <w:vAlign w:val="center"/>
          </w:tcPr>
          <w:p w14:paraId="1B4CC4FB">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snapToGrid w:val="0"/>
                <w:color w:val="auto"/>
                <w:kern w:val="0"/>
                <w:sz w:val="24"/>
                <w:szCs w:val="24"/>
                <w:highlight w:val="none"/>
                <w:lang w:val="en-US" w:eastAsia="zh-CN" w:bidi="ar"/>
              </w:rPr>
            </w:pPr>
            <w:r>
              <w:rPr>
                <w:rFonts w:hint="eastAsia" w:ascii="仿宋_GB2312" w:hAnsi="仿宋_GB2312" w:eastAsia="仿宋_GB2312" w:cs="仿宋_GB2312"/>
                <w:snapToGrid w:val="0"/>
                <w:color w:val="auto"/>
                <w:kern w:val="0"/>
                <w:sz w:val="24"/>
                <w:szCs w:val="24"/>
                <w:highlight w:val="none"/>
                <w:lang w:val="en-US" w:eastAsia="zh-CN" w:bidi="ar"/>
              </w:rPr>
              <w:t>乡风建设</w:t>
            </w:r>
          </w:p>
        </w:tc>
        <w:tc>
          <w:tcPr>
            <w:tcW w:w="4268" w:type="dxa"/>
            <w:vAlign w:val="center"/>
          </w:tcPr>
          <w:p w14:paraId="32831AE4">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snapToGrid w:val="0"/>
                <w:color w:val="auto"/>
                <w:kern w:val="0"/>
                <w:sz w:val="24"/>
                <w:szCs w:val="24"/>
                <w:highlight w:val="none"/>
                <w:lang w:val="en-US" w:eastAsia="zh-CN" w:bidi="ar"/>
              </w:rPr>
            </w:pPr>
            <w:r>
              <w:rPr>
                <w:rFonts w:hint="eastAsia" w:ascii="仿宋_GB2312" w:hAnsi="仿宋_GB2312" w:eastAsia="仿宋_GB2312" w:cs="仿宋_GB2312"/>
                <w:snapToGrid w:val="0"/>
                <w:color w:val="auto"/>
                <w:kern w:val="0"/>
                <w:sz w:val="24"/>
                <w:szCs w:val="24"/>
                <w:highlight w:val="none"/>
                <w:lang w:val="en-US" w:eastAsia="zh-CN" w:bidi="ar"/>
              </w:rPr>
              <w:t>没有重大负面舆情</w:t>
            </w:r>
          </w:p>
        </w:tc>
      </w:tr>
      <w:tr w14:paraId="15BAC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14:paraId="593F5533">
            <w:pPr>
              <w:keepNext w:val="0"/>
              <w:keepLines w:val="0"/>
              <w:pageBreakBefore w:val="0"/>
              <w:widowControl/>
              <w:numPr>
                <w:ilvl w:val="0"/>
                <w:numId w:val="0"/>
              </w:numPr>
              <w:wordWrap/>
              <w:overflowPunct/>
              <w:topLinePunct w:val="0"/>
              <w:bidi w:val="0"/>
              <w:spacing w:line="560" w:lineRule="exact"/>
              <w:jc w:val="center"/>
              <w:textAlignment w:val="baseline"/>
              <w:rPr>
                <w:rFonts w:hint="default" w:ascii="仿宋_GB2312" w:hAnsi="仿宋_GB2312" w:eastAsia="仿宋_GB2312" w:cs="仿宋_GB2312"/>
                <w:b w:val="0"/>
                <w:color w:val="auto"/>
                <w:spacing w:val="0"/>
                <w:kern w:val="0"/>
                <w:sz w:val="21"/>
                <w:szCs w:val="21"/>
                <w:lang w:val="en-US" w:eastAsia="zh-CN" w:bidi="ar-SA"/>
                <w:woUserID w:val="2"/>
              </w:rPr>
            </w:pPr>
            <w:r>
              <w:rPr>
                <w:rFonts w:hint="eastAsia" w:ascii="仿宋_GB2312" w:hAnsi="仿宋_GB2312" w:eastAsia="仿宋_GB2312" w:cs="仿宋_GB2312"/>
                <w:b w:val="0"/>
                <w:color w:val="auto"/>
                <w:spacing w:val="0"/>
                <w:kern w:val="0"/>
                <w:sz w:val="21"/>
                <w:szCs w:val="21"/>
                <w:lang w:val="en-US" w:eastAsia="zh-CN" w:bidi="ar-SA"/>
                <w:woUserID w:val="2"/>
              </w:rPr>
              <w:t>15</w:t>
            </w:r>
          </w:p>
        </w:tc>
        <w:tc>
          <w:tcPr>
            <w:tcW w:w="1094" w:type="dxa"/>
            <w:vMerge w:val="continue"/>
            <w:vAlign w:val="center"/>
          </w:tcPr>
          <w:p w14:paraId="20D3202D">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snapToGrid w:val="0"/>
                <w:color w:val="auto"/>
                <w:kern w:val="0"/>
                <w:sz w:val="24"/>
                <w:szCs w:val="24"/>
                <w:highlight w:val="none"/>
                <w:lang w:val="en-US" w:eastAsia="zh-CN" w:bidi="ar"/>
              </w:rPr>
            </w:pPr>
          </w:p>
        </w:tc>
        <w:tc>
          <w:tcPr>
            <w:tcW w:w="2589" w:type="dxa"/>
            <w:vAlign w:val="center"/>
          </w:tcPr>
          <w:p w14:paraId="38C31D31">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snapToGrid w:val="0"/>
                <w:color w:val="auto"/>
                <w:kern w:val="0"/>
                <w:sz w:val="24"/>
                <w:szCs w:val="24"/>
                <w:highlight w:val="none"/>
                <w:lang w:val="en-US" w:eastAsia="zh-CN" w:bidi="ar"/>
              </w:rPr>
            </w:pPr>
            <w:r>
              <w:rPr>
                <w:rFonts w:hint="eastAsia" w:ascii="仿宋_GB2312" w:hAnsi="仿宋_GB2312" w:eastAsia="仿宋_GB2312" w:cs="仿宋_GB2312"/>
                <w:snapToGrid w:val="0"/>
                <w:color w:val="auto"/>
                <w:kern w:val="0"/>
                <w:sz w:val="24"/>
                <w:szCs w:val="24"/>
                <w:highlight w:val="none"/>
                <w:lang w:val="en-US" w:eastAsia="zh-CN" w:bidi="ar"/>
              </w:rPr>
              <w:t>农村居民对美丽乡村建设成效满意程度</w:t>
            </w:r>
          </w:p>
        </w:tc>
        <w:tc>
          <w:tcPr>
            <w:tcW w:w="4268" w:type="dxa"/>
            <w:vAlign w:val="center"/>
          </w:tcPr>
          <w:p w14:paraId="170A560D">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snapToGrid w:val="0"/>
                <w:color w:val="auto"/>
                <w:kern w:val="0"/>
                <w:sz w:val="24"/>
                <w:szCs w:val="24"/>
                <w:highlight w:val="none"/>
                <w:lang w:val="en-US" w:eastAsia="zh-CN" w:bidi="ar"/>
              </w:rPr>
            </w:pPr>
            <w:r>
              <w:rPr>
                <w:rFonts w:hint="eastAsia" w:ascii="仿宋_GB2312" w:hAnsi="仿宋_GB2312" w:eastAsia="仿宋_GB2312" w:cs="仿宋_GB2312"/>
                <w:snapToGrid w:val="0"/>
                <w:color w:val="auto"/>
                <w:kern w:val="0"/>
                <w:sz w:val="24"/>
                <w:szCs w:val="24"/>
                <w:highlight w:val="none"/>
                <w:lang w:val="en-US" w:eastAsia="zh-CN" w:bidi="ar"/>
              </w:rPr>
              <w:t>满意度≥90%</w:t>
            </w:r>
          </w:p>
        </w:tc>
      </w:tr>
    </w:tbl>
    <w:p w14:paraId="4EEBA92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color w:val="auto"/>
          <w:kern w:val="2"/>
          <w:sz w:val="44"/>
          <w:szCs w:val="44"/>
          <w:lang w:val="en-US" w:eastAsia="zh-CN" w:bidi="ar-SA"/>
        </w:rPr>
      </w:pPr>
    </w:p>
    <w:p w14:paraId="00DF8A18">
      <w:pPr>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br w:type="page"/>
      </w:r>
    </w:p>
    <w:p w14:paraId="203461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指标解释</w:t>
      </w:r>
    </w:p>
    <w:p w14:paraId="1C3242B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p>
    <w:p w14:paraId="1A100CA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hint="eastAsia" w:ascii="黑体" w:hAnsi="Times New Roman" w:eastAsia="黑体" w:cs="Times New Roman"/>
          <w:color w:val="auto"/>
          <w:kern w:val="0"/>
          <w:sz w:val="32"/>
          <w:szCs w:val="32"/>
          <w:lang w:val="en-US" w:eastAsia="zh-CN"/>
        </w:rPr>
      </w:pPr>
      <w:r>
        <w:rPr>
          <w:rFonts w:hint="eastAsia" w:ascii="黑体" w:hAnsi="Times New Roman" w:eastAsia="黑体" w:cs="Times New Roman"/>
          <w:color w:val="auto"/>
          <w:kern w:val="0"/>
          <w:sz w:val="32"/>
          <w:szCs w:val="32"/>
          <w:lang w:val="en-US" w:eastAsia="zh-CN"/>
        </w:rPr>
        <w:t>一、农村生活污水治理（管控）率</w:t>
      </w:r>
    </w:p>
    <w:p w14:paraId="062E31EA">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Fonts w:hint="eastAsia" w:ascii="楷体_GB2312" w:hAnsi="Times New Roman" w:eastAsia="楷体_GB2312" w:cs="Times New Roman"/>
          <w:b/>
          <w:color w:val="auto"/>
          <w:kern w:val="0"/>
          <w:sz w:val="32"/>
          <w:szCs w:val="32"/>
          <w:lang w:val="en-US" w:eastAsia="zh-CN"/>
        </w:rPr>
      </w:pPr>
      <w:r>
        <w:rPr>
          <w:rFonts w:hint="eastAsia" w:ascii="楷体_GB2312" w:hAnsi="Times New Roman" w:eastAsia="楷体_GB2312" w:cs="Times New Roman"/>
          <w:b/>
          <w:color w:val="auto"/>
          <w:kern w:val="0"/>
          <w:sz w:val="32"/>
          <w:szCs w:val="32"/>
          <w:lang w:val="en-US" w:eastAsia="zh-CN"/>
        </w:rPr>
        <w:t>（一）指标要求</w:t>
      </w:r>
    </w:p>
    <w:p w14:paraId="289A746E">
      <w:pPr>
        <w:keepNext w:val="0"/>
        <w:keepLines w:val="0"/>
        <w:pageBreakBefore w:val="0"/>
        <w:widowControl/>
        <w:numPr>
          <w:ilvl w:val="0"/>
          <w:numId w:val="0"/>
        </w:numPr>
        <w:wordWrap/>
        <w:overflowPunct/>
        <w:topLinePunct w:val="0"/>
        <w:bidi w:val="0"/>
        <w:spacing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到2027年，农村生活污水治理（管控）率达到65%以上；到2035年，农村生活污水治理（管控）率达到80%以上。</w:t>
      </w:r>
    </w:p>
    <w:p w14:paraId="00EBA766">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Fonts w:hint="eastAsia" w:ascii="楷体_GB2312" w:hAnsi="Times New Roman" w:eastAsia="楷体_GB2312" w:cs="Times New Roman"/>
          <w:b/>
          <w:color w:val="auto"/>
          <w:kern w:val="0"/>
          <w:sz w:val="32"/>
          <w:szCs w:val="32"/>
          <w:lang w:val="en-US" w:eastAsia="zh-CN"/>
        </w:rPr>
      </w:pPr>
      <w:r>
        <w:rPr>
          <w:rFonts w:hint="eastAsia" w:ascii="楷体_GB2312" w:hAnsi="Times New Roman" w:eastAsia="楷体_GB2312" w:cs="Times New Roman"/>
          <w:b/>
          <w:color w:val="auto"/>
          <w:kern w:val="0"/>
          <w:sz w:val="32"/>
          <w:szCs w:val="32"/>
          <w:lang w:val="en-US" w:eastAsia="zh-CN"/>
        </w:rPr>
        <w:t>（二）指标解释</w:t>
      </w:r>
    </w:p>
    <w:p w14:paraId="2E9ABB4D">
      <w:pPr>
        <w:keepNext w:val="0"/>
        <w:keepLines w:val="0"/>
        <w:pageBreakBefore w:val="0"/>
        <w:widowControl/>
        <w:numPr>
          <w:ilvl w:val="0"/>
          <w:numId w:val="0"/>
        </w:numPr>
        <w:wordWrap/>
        <w:overflowPunct/>
        <w:topLinePunct w:val="0"/>
        <w:bidi w:val="0"/>
        <w:spacing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农村生活污水治理（管控）是指以改变污水造成的脏乱差状况，杜绝未经处理直排环境为导向，行政村实现“三基本”：基本看不到污水横流，公共空间基本没有生活污水乱倒乱排现象；基本闻不到臭味，公共空间或房前屋后基本没有黑臭水体、臭水沟、臭水坑等；基本听不到村民怨言，治理成效为多数村民群众认可。</w:t>
      </w:r>
    </w:p>
    <w:p w14:paraId="41345DFE">
      <w:pPr>
        <w:keepNext w:val="0"/>
        <w:keepLines w:val="0"/>
        <w:pageBreakBefore w:val="0"/>
        <w:widowControl/>
        <w:numPr>
          <w:ilvl w:val="0"/>
          <w:numId w:val="0"/>
        </w:numPr>
        <w:wordWrap/>
        <w:overflowPunct/>
        <w:topLinePunct w:val="0"/>
        <w:bidi w:val="0"/>
        <w:spacing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同时，建立农村生活污水处理设施运行维护长效机制，包括：落实运维责任主体，明确运维经费，落实日常运行、巡检、监测等相关制度、村民参与制度等。</w:t>
      </w:r>
    </w:p>
    <w:p w14:paraId="46B1D638">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Fonts w:hint="eastAsia" w:ascii="楷体_GB2312" w:hAnsi="Times New Roman" w:eastAsia="楷体_GB2312" w:cs="Times New Roman"/>
          <w:b/>
          <w:color w:val="auto"/>
          <w:kern w:val="0"/>
          <w:sz w:val="32"/>
          <w:szCs w:val="32"/>
          <w:lang w:val="en-US" w:eastAsia="zh-CN"/>
        </w:rPr>
      </w:pPr>
      <w:r>
        <w:rPr>
          <w:rFonts w:hint="eastAsia" w:ascii="楷体_GB2312" w:hAnsi="Times New Roman" w:eastAsia="楷体_GB2312" w:cs="Times New Roman"/>
          <w:b/>
          <w:color w:val="auto"/>
          <w:kern w:val="0"/>
          <w:sz w:val="32"/>
          <w:szCs w:val="32"/>
          <w:lang w:val="en-US" w:eastAsia="zh-CN"/>
        </w:rPr>
        <w:t>（三）评估数据来源</w:t>
      </w:r>
    </w:p>
    <w:p w14:paraId="4F55D96E">
      <w:pPr>
        <w:keepNext w:val="0"/>
        <w:keepLines w:val="0"/>
        <w:pageBreakBefore w:val="0"/>
        <w:widowControl/>
        <w:numPr>
          <w:ilvl w:val="0"/>
          <w:numId w:val="0"/>
        </w:numPr>
        <w:wordWrap/>
        <w:overflowPunct/>
        <w:topLinePunct w:val="0"/>
        <w:bidi w:val="0"/>
        <w:spacing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生态环境等相关部门。</w:t>
      </w:r>
    </w:p>
    <w:p w14:paraId="6ACC701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hint="eastAsia" w:ascii="黑体" w:hAnsi="Times New Roman" w:eastAsia="黑体" w:cs="Times New Roman"/>
          <w:color w:val="auto"/>
          <w:kern w:val="0"/>
          <w:sz w:val="32"/>
          <w:szCs w:val="32"/>
          <w:lang w:val="en-US" w:eastAsia="zh-CN"/>
        </w:rPr>
      </w:pPr>
      <w:r>
        <w:rPr>
          <w:rFonts w:hint="eastAsia" w:ascii="黑体" w:hAnsi="Times New Roman" w:eastAsia="黑体" w:cs="Times New Roman"/>
          <w:color w:val="auto"/>
          <w:kern w:val="0"/>
          <w:sz w:val="32"/>
          <w:szCs w:val="32"/>
          <w:lang w:val="en-US" w:eastAsia="zh-CN"/>
        </w:rPr>
        <w:t>二、农村生活垃圾</w:t>
      </w:r>
    </w:p>
    <w:p w14:paraId="637FE1E6">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Fonts w:hint="eastAsia" w:ascii="楷体_GB2312" w:hAnsi="Times New Roman" w:eastAsia="楷体_GB2312" w:cs="Times New Roman"/>
          <w:b/>
          <w:color w:val="auto"/>
          <w:kern w:val="0"/>
          <w:sz w:val="32"/>
          <w:szCs w:val="32"/>
          <w:lang w:val="en-US" w:eastAsia="zh-CN"/>
        </w:rPr>
      </w:pPr>
      <w:r>
        <w:rPr>
          <w:rFonts w:hint="eastAsia" w:ascii="楷体_GB2312" w:hAnsi="Times New Roman" w:eastAsia="楷体_GB2312" w:cs="Times New Roman"/>
          <w:b/>
          <w:color w:val="auto"/>
          <w:kern w:val="0"/>
          <w:sz w:val="32"/>
          <w:szCs w:val="32"/>
          <w:lang w:val="en-US" w:eastAsia="zh-CN"/>
        </w:rPr>
        <w:t>（一）指标要求</w:t>
      </w:r>
    </w:p>
    <w:p w14:paraId="096F2B7D">
      <w:pPr>
        <w:keepNext w:val="0"/>
        <w:keepLines w:val="0"/>
        <w:pageBreakBefore w:val="0"/>
        <w:widowControl/>
        <w:numPr>
          <w:ilvl w:val="0"/>
          <w:numId w:val="0"/>
        </w:numPr>
        <w:wordWrap/>
        <w:overflowPunct/>
        <w:topLinePunct w:val="0"/>
        <w:bidi w:val="0"/>
        <w:spacing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农村生活垃圾有效治理。</w:t>
      </w:r>
    </w:p>
    <w:p w14:paraId="6BE7A020">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Fonts w:hint="eastAsia" w:ascii="楷体_GB2312" w:hAnsi="Times New Roman" w:eastAsia="楷体_GB2312" w:cs="Times New Roman"/>
          <w:b/>
          <w:color w:val="auto"/>
          <w:kern w:val="0"/>
          <w:sz w:val="32"/>
          <w:szCs w:val="32"/>
          <w:lang w:val="en-US" w:eastAsia="zh-CN"/>
        </w:rPr>
      </w:pPr>
      <w:r>
        <w:rPr>
          <w:rFonts w:hint="eastAsia" w:ascii="楷体_GB2312" w:hAnsi="Times New Roman" w:eastAsia="楷体_GB2312" w:cs="Times New Roman"/>
          <w:b/>
          <w:color w:val="auto"/>
          <w:kern w:val="0"/>
          <w:sz w:val="32"/>
          <w:szCs w:val="32"/>
          <w:lang w:val="en-US" w:eastAsia="zh-CN"/>
        </w:rPr>
        <w:t>（二）指标解释</w:t>
      </w:r>
    </w:p>
    <w:p w14:paraId="72C85E9B">
      <w:pPr>
        <w:keepNext w:val="0"/>
        <w:keepLines w:val="0"/>
        <w:pageBreakBefore w:val="0"/>
        <w:widowControl/>
        <w:numPr>
          <w:ilvl w:val="0"/>
          <w:numId w:val="0"/>
        </w:numPr>
        <w:wordWrap/>
        <w:overflowPunct/>
        <w:topLinePunct w:val="0"/>
        <w:bidi w:val="0"/>
        <w:spacing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基本建立有制度、有标准、有队伍、有经费、有监督的农村生活垃圾管护机制，定期清理处置生活垃圾，无明显的生活垃圾乱堆乱倒现象。</w:t>
      </w:r>
    </w:p>
    <w:p w14:paraId="370F1290">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Fonts w:hint="eastAsia" w:ascii="楷体_GB2312" w:hAnsi="Times New Roman" w:eastAsia="楷体_GB2312" w:cs="Times New Roman"/>
          <w:b/>
          <w:color w:val="auto"/>
          <w:kern w:val="0"/>
          <w:sz w:val="32"/>
          <w:szCs w:val="32"/>
          <w:lang w:val="en-US" w:eastAsia="zh-CN"/>
        </w:rPr>
      </w:pPr>
      <w:r>
        <w:rPr>
          <w:rFonts w:hint="eastAsia" w:ascii="楷体_GB2312" w:hAnsi="Times New Roman" w:eastAsia="楷体_GB2312" w:cs="Times New Roman"/>
          <w:b/>
          <w:color w:val="auto"/>
          <w:kern w:val="0"/>
          <w:sz w:val="32"/>
          <w:szCs w:val="32"/>
          <w:lang w:val="en-US" w:eastAsia="zh-CN"/>
        </w:rPr>
        <w:t>（三）评估数据来源</w:t>
      </w:r>
    </w:p>
    <w:p w14:paraId="082A1D97">
      <w:pPr>
        <w:keepNext w:val="0"/>
        <w:keepLines w:val="0"/>
        <w:pageBreakBefore w:val="0"/>
        <w:widowControl/>
        <w:numPr>
          <w:ilvl w:val="0"/>
          <w:numId w:val="0"/>
        </w:numPr>
        <w:wordWrap/>
        <w:overflowPunct/>
        <w:topLinePunct w:val="0"/>
        <w:bidi w:val="0"/>
        <w:spacing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城市管理、农业农村等相关部门。</w:t>
      </w:r>
    </w:p>
    <w:p w14:paraId="160D6EA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hint="eastAsia" w:ascii="黑体" w:hAnsi="Times New Roman" w:eastAsia="黑体" w:cs="Times New Roman"/>
          <w:color w:val="auto"/>
          <w:kern w:val="0"/>
          <w:sz w:val="32"/>
          <w:szCs w:val="32"/>
          <w:lang w:val="en-US" w:eastAsia="zh-CN"/>
        </w:rPr>
      </w:pPr>
      <w:r>
        <w:rPr>
          <w:rFonts w:hint="eastAsia" w:ascii="黑体" w:hAnsi="Times New Roman" w:eastAsia="黑体" w:cs="Times New Roman"/>
          <w:color w:val="auto"/>
          <w:kern w:val="0"/>
          <w:sz w:val="32"/>
          <w:szCs w:val="32"/>
          <w:lang w:val="en-US" w:eastAsia="zh-CN"/>
        </w:rPr>
        <w:t>三、农村黑臭水体</w:t>
      </w:r>
    </w:p>
    <w:p w14:paraId="6AB83145">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Fonts w:hint="eastAsia" w:ascii="楷体_GB2312" w:hAnsi="Times New Roman" w:eastAsia="楷体_GB2312" w:cs="Times New Roman"/>
          <w:b/>
          <w:color w:val="auto"/>
          <w:kern w:val="0"/>
          <w:sz w:val="32"/>
          <w:szCs w:val="32"/>
          <w:lang w:val="en-US" w:eastAsia="zh-CN"/>
        </w:rPr>
      </w:pPr>
      <w:r>
        <w:rPr>
          <w:rFonts w:hint="eastAsia" w:ascii="楷体_GB2312" w:hAnsi="Times New Roman" w:eastAsia="楷体_GB2312" w:cs="Times New Roman"/>
          <w:b/>
          <w:color w:val="auto"/>
          <w:kern w:val="0"/>
          <w:sz w:val="32"/>
          <w:szCs w:val="32"/>
          <w:lang w:val="en-US" w:eastAsia="zh-CN"/>
        </w:rPr>
        <w:t>（一）指标要求</w:t>
      </w:r>
    </w:p>
    <w:p w14:paraId="0E4E00FA">
      <w:pPr>
        <w:keepNext w:val="0"/>
        <w:keepLines w:val="0"/>
        <w:pageBreakBefore w:val="0"/>
        <w:widowControl/>
        <w:numPr>
          <w:ilvl w:val="0"/>
          <w:numId w:val="0"/>
        </w:numPr>
        <w:wordWrap/>
        <w:overflowPunct/>
        <w:topLinePunct w:val="0"/>
        <w:bidi w:val="0"/>
        <w:spacing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农村黑臭水体基本消除。</w:t>
      </w:r>
    </w:p>
    <w:p w14:paraId="6C2248AD">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Fonts w:hint="eastAsia" w:ascii="楷体_GB2312" w:hAnsi="Times New Roman" w:eastAsia="楷体_GB2312" w:cs="Times New Roman"/>
          <w:b/>
          <w:color w:val="auto"/>
          <w:kern w:val="0"/>
          <w:sz w:val="32"/>
          <w:szCs w:val="32"/>
          <w:lang w:val="en-US" w:eastAsia="zh-CN"/>
        </w:rPr>
      </w:pPr>
      <w:r>
        <w:rPr>
          <w:rFonts w:hint="eastAsia" w:ascii="楷体_GB2312" w:hAnsi="Times New Roman" w:eastAsia="楷体_GB2312" w:cs="Times New Roman"/>
          <w:b/>
          <w:color w:val="auto"/>
          <w:kern w:val="0"/>
          <w:sz w:val="32"/>
          <w:szCs w:val="32"/>
          <w:lang w:val="en-US" w:eastAsia="zh-CN"/>
        </w:rPr>
        <w:t>（二）指标解释</w:t>
      </w:r>
    </w:p>
    <w:p w14:paraId="534146EE">
      <w:pPr>
        <w:keepNext w:val="0"/>
        <w:keepLines w:val="0"/>
        <w:pageBreakBefore w:val="0"/>
        <w:widowControl/>
        <w:numPr>
          <w:ilvl w:val="0"/>
          <w:numId w:val="0"/>
        </w:numPr>
        <w:wordWrap/>
        <w:overflowPunct/>
        <w:topLinePunct w:val="0"/>
        <w:bidi w:val="0"/>
        <w:spacing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按照《农村黑臭水体治理工作指南》，认定黑臭水体治理完成情况。县域内无农村黑臭水体，或县域内所有排查上报的农村黑臭水体达到治理要求，或零星散发的农村黑臭水体及时排查治理并基本消除的，认为该指标合格。</w:t>
      </w:r>
    </w:p>
    <w:p w14:paraId="071B9E79">
      <w:pPr>
        <w:keepNext w:val="0"/>
        <w:keepLines w:val="0"/>
        <w:pageBreakBefore w:val="0"/>
        <w:widowControl/>
        <w:numPr>
          <w:ilvl w:val="0"/>
          <w:numId w:val="0"/>
        </w:numPr>
        <w:wordWrap/>
        <w:overflowPunct/>
        <w:topLinePunct w:val="0"/>
        <w:bidi w:val="0"/>
        <w:spacing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发现县域范围内3条及以上农村黑臭水体未达到治理要求，或发现3条及以上不在治理清单内的新增农村黑臭水体，或未达到治理要求的水体和发现新增黑臭水体一共达到3条及以上，则视为该指标不合格。</w:t>
      </w:r>
    </w:p>
    <w:p w14:paraId="2D54D902">
      <w:pPr>
        <w:keepNext w:val="0"/>
        <w:keepLines w:val="0"/>
        <w:pageBreakBefore w:val="0"/>
        <w:widowControl/>
        <w:numPr>
          <w:ilvl w:val="0"/>
          <w:numId w:val="0"/>
        </w:numPr>
        <w:wordWrap/>
        <w:overflowPunct/>
        <w:topLinePunct w:val="0"/>
        <w:bidi w:val="0"/>
        <w:spacing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同时，建立农村黑臭水体治理长效管护机制，包括：水体巡查和保洁制度、污染治理设施管护制度、村民参与制度、社会监督制度等。</w:t>
      </w:r>
    </w:p>
    <w:p w14:paraId="63DF3C6F">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Fonts w:hint="eastAsia" w:ascii="楷体_GB2312" w:hAnsi="Times New Roman" w:eastAsia="楷体_GB2312" w:cs="Times New Roman"/>
          <w:b/>
          <w:color w:val="auto"/>
          <w:kern w:val="0"/>
          <w:sz w:val="32"/>
          <w:szCs w:val="32"/>
          <w:lang w:val="en-US" w:eastAsia="zh-CN"/>
        </w:rPr>
      </w:pPr>
      <w:r>
        <w:rPr>
          <w:rFonts w:hint="eastAsia" w:ascii="楷体_GB2312" w:hAnsi="Times New Roman" w:eastAsia="楷体_GB2312" w:cs="Times New Roman"/>
          <w:b/>
          <w:color w:val="auto"/>
          <w:kern w:val="0"/>
          <w:sz w:val="32"/>
          <w:szCs w:val="32"/>
          <w:lang w:val="en-US" w:eastAsia="zh-CN"/>
        </w:rPr>
        <w:t>（三）评估数据来源</w:t>
      </w:r>
    </w:p>
    <w:p w14:paraId="48910C1D">
      <w:pPr>
        <w:keepNext w:val="0"/>
        <w:keepLines w:val="0"/>
        <w:pageBreakBefore w:val="0"/>
        <w:widowControl/>
        <w:numPr>
          <w:ilvl w:val="0"/>
          <w:numId w:val="0"/>
        </w:numPr>
        <w:wordWrap/>
        <w:overflowPunct/>
        <w:topLinePunct w:val="0"/>
        <w:bidi w:val="0"/>
        <w:spacing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生态环境、农业农村、水务等相关部门。</w:t>
      </w:r>
    </w:p>
    <w:p w14:paraId="4359C37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hint="eastAsia" w:ascii="黑体" w:hAnsi="Times New Roman" w:eastAsia="黑体" w:cs="Times New Roman"/>
          <w:color w:val="auto"/>
          <w:kern w:val="0"/>
          <w:sz w:val="32"/>
          <w:szCs w:val="32"/>
          <w:lang w:val="en-US" w:eastAsia="zh-CN"/>
        </w:rPr>
      </w:pPr>
      <w:r>
        <w:rPr>
          <w:rFonts w:hint="eastAsia" w:ascii="黑体" w:hAnsi="Times New Roman" w:eastAsia="黑体" w:cs="Times New Roman"/>
          <w:color w:val="auto"/>
          <w:kern w:val="0"/>
          <w:sz w:val="32"/>
          <w:szCs w:val="32"/>
          <w:lang w:val="en-US" w:eastAsia="zh-CN"/>
        </w:rPr>
        <w:t>四、畜禽养殖污染</w:t>
      </w:r>
    </w:p>
    <w:p w14:paraId="41087D84">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Fonts w:hint="eastAsia" w:ascii="楷体_GB2312" w:hAnsi="Times New Roman" w:eastAsia="楷体_GB2312" w:cs="Times New Roman"/>
          <w:b/>
          <w:color w:val="auto"/>
          <w:kern w:val="0"/>
          <w:sz w:val="32"/>
          <w:szCs w:val="32"/>
          <w:lang w:val="en-US" w:eastAsia="zh-CN"/>
        </w:rPr>
      </w:pPr>
      <w:r>
        <w:rPr>
          <w:rFonts w:hint="eastAsia" w:ascii="楷体_GB2312" w:hAnsi="Times New Roman" w:eastAsia="楷体_GB2312" w:cs="Times New Roman"/>
          <w:b/>
          <w:color w:val="auto"/>
          <w:kern w:val="0"/>
          <w:sz w:val="32"/>
          <w:szCs w:val="32"/>
          <w:lang w:val="en-US" w:eastAsia="zh-CN"/>
        </w:rPr>
        <w:t>（一）指标要求</w:t>
      </w:r>
    </w:p>
    <w:p w14:paraId="505AB77F">
      <w:pPr>
        <w:keepNext w:val="0"/>
        <w:keepLines w:val="0"/>
        <w:pageBreakBefore w:val="0"/>
        <w:widowControl/>
        <w:numPr>
          <w:ilvl w:val="0"/>
          <w:numId w:val="0"/>
        </w:numPr>
        <w:wordWrap/>
        <w:overflowPunct/>
        <w:topLinePunct w:val="0"/>
        <w:bidi w:val="0"/>
        <w:spacing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属实的重复信访举报一年不超过3起。</w:t>
      </w:r>
    </w:p>
    <w:p w14:paraId="009954FF">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Fonts w:hint="eastAsia" w:ascii="楷体_GB2312" w:hAnsi="Times New Roman" w:eastAsia="楷体_GB2312" w:cs="Times New Roman"/>
          <w:b/>
          <w:color w:val="auto"/>
          <w:kern w:val="0"/>
          <w:sz w:val="32"/>
          <w:szCs w:val="32"/>
          <w:lang w:val="en-US" w:eastAsia="zh-CN"/>
        </w:rPr>
      </w:pPr>
      <w:r>
        <w:rPr>
          <w:rFonts w:hint="eastAsia" w:ascii="楷体_GB2312" w:hAnsi="Times New Roman" w:eastAsia="楷体_GB2312" w:cs="Times New Roman"/>
          <w:b/>
          <w:color w:val="auto"/>
          <w:kern w:val="0"/>
          <w:sz w:val="32"/>
          <w:szCs w:val="32"/>
          <w:lang w:val="en-US" w:eastAsia="zh-CN"/>
        </w:rPr>
        <w:t>（二）指标解释</w:t>
      </w:r>
    </w:p>
    <w:p w14:paraId="5099329E">
      <w:pPr>
        <w:keepNext w:val="0"/>
        <w:keepLines w:val="0"/>
        <w:pageBreakBefore w:val="0"/>
        <w:widowControl/>
        <w:numPr>
          <w:ilvl w:val="0"/>
          <w:numId w:val="0"/>
        </w:numPr>
        <w:wordWrap/>
        <w:overflowPunct/>
        <w:topLinePunct w:val="0"/>
        <w:bidi w:val="0"/>
        <w:spacing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每起畜禽养殖污染导致的重复信访和举报是指一年内人民群众对同一畜禽养殖场（户）环境污染行为，经核实属实，有关部门督促整改后，被再次信访或举报3次及以上（信访、举报不属实的情形除外）。</w:t>
      </w:r>
    </w:p>
    <w:p w14:paraId="332319C6">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Fonts w:hint="eastAsia" w:ascii="楷体_GB2312" w:hAnsi="Times New Roman" w:eastAsia="楷体_GB2312" w:cs="Times New Roman"/>
          <w:b/>
          <w:color w:val="auto"/>
          <w:kern w:val="0"/>
          <w:sz w:val="32"/>
          <w:szCs w:val="32"/>
          <w:lang w:val="en-US" w:eastAsia="zh-CN"/>
        </w:rPr>
      </w:pPr>
      <w:r>
        <w:rPr>
          <w:rFonts w:hint="eastAsia" w:ascii="楷体_GB2312" w:hAnsi="Times New Roman" w:eastAsia="楷体_GB2312" w:cs="Times New Roman"/>
          <w:b/>
          <w:color w:val="auto"/>
          <w:kern w:val="0"/>
          <w:sz w:val="32"/>
          <w:szCs w:val="32"/>
          <w:lang w:val="en-US" w:eastAsia="zh-CN"/>
        </w:rPr>
        <w:t>（三）评估数据来源</w:t>
      </w:r>
    </w:p>
    <w:p w14:paraId="1B904A65">
      <w:pPr>
        <w:keepNext w:val="0"/>
        <w:keepLines w:val="0"/>
        <w:pageBreakBefore w:val="0"/>
        <w:widowControl/>
        <w:numPr>
          <w:ilvl w:val="0"/>
          <w:numId w:val="0"/>
        </w:numPr>
        <w:wordWrap/>
        <w:overflowPunct/>
        <w:topLinePunct w:val="0"/>
        <w:bidi w:val="0"/>
        <w:spacing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农业农村部门。</w:t>
      </w:r>
    </w:p>
    <w:p w14:paraId="4C11575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hint="eastAsia" w:ascii="黑体" w:hAnsi="Times New Roman" w:eastAsia="黑体" w:cs="Times New Roman"/>
          <w:color w:val="auto"/>
          <w:kern w:val="0"/>
          <w:sz w:val="32"/>
          <w:szCs w:val="32"/>
          <w:lang w:val="en-US" w:eastAsia="zh-CN"/>
        </w:rPr>
      </w:pPr>
      <w:r>
        <w:rPr>
          <w:rFonts w:hint="eastAsia" w:ascii="黑体" w:hAnsi="Times New Roman" w:eastAsia="黑体" w:cs="Times New Roman"/>
          <w:color w:val="auto"/>
          <w:kern w:val="0"/>
          <w:sz w:val="32"/>
          <w:szCs w:val="32"/>
          <w:lang w:val="en-US" w:eastAsia="zh-CN"/>
        </w:rPr>
        <w:t>五、水土保持率</w:t>
      </w:r>
    </w:p>
    <w:p w14:paraId="4EDC08CD">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Fonts w:hint="eastAsia" w:ascii="楷体_GB2312" w:hAnsi="Times New Roman" w:eastAsia="楷体_GB2312" w:cs="Times New Roman"/>
          <w:b/>
          <w:color w:val="auto"/>
          <w:kern w:val="0"/>
          <w:sz w:val="32"/>
          <w:szCs w:val="32"/>
          <w:lang w:val="en-US" w:eastAsia="zh-CN"/>
        </w:rPr>
      </w:pPr>
      <w:r>
        <w:rPr>
          <w:rFonts w:hint="eastAsia" w:ascii="楷体_GB2312" w:hAnsi="Times New Roman" w:eastAsia="楷体_GB2312" w:cs="Times New Roman"/>
          <w:b/>
          <w:color w:val="auto"/>
          <w:kern w:val="0"/>
          <w:sz w:val="32"/>
          <w:szCs w:val="32"/>
          <w:lang w:val="en-US" w:eastAsia="zh-CN"/>
        </w:rPr>
        <w:t>（一）指标要求</w:t>
      </w:r>
    </w:p>
    <w:p w14:paraId="3DC3AE0A">
      <w:pPr>
        <w:keepNext w:val="0"/>
        <w:keepLines w:val="0"/>
        <w:pageBreakBefore w:val="0"/>
        <w:widowControl/>
        <w:numPr>
          <w:ilvl w:val="0"/>
          <w:numId w:val="0"/>
        </w:numPr>
        <w:wordWrap/>
        <w:overflowPunct/>
        <w:topLinePunct w:val="0"/>
        <w:bidi w:val="0"/>
        <w:spacing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达到省级分解到县级的水土保持率目标值。</w:t>
      </w:r>
    </w:p>
    <w:p w14:paraId="0CCEB2A4">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Fonts w:hint="eastAsia" w:ascii="楷体_GB2312" w:hAnsi="Times New Roman" w:eastAsia="楷体_GB2312" w:cs="Times New Roman"/>
          <w:b/>
          <w:color w:val="auto"/>
          <w:kern w:val="0"/>
          <w:sz w:val="32"/>
          <w:szCs w:val="32"/>
          <w:lang w:val="en-US" w:eastAsia="zh-CN"/>
        </w:rPr>
      </w:pPr>
      <w:r>
        <w:rPr>
          <w:rFonts w:hint="eastAsia" w:ascii="楷体_GB2312" w:hAnsi="Times New Roman" w:eastAsia="楷体_GB2312" w:cs="Times New Roman"/>
          <w:b/>
          <w:color w:val="auto"/>
          <w:kern w:val="0"/>
          <w:sz w:val="32"/>
          <w:szCs w:val="32"/>
          <w:lang w:val="en-US" w:eastAsia="zh-CN"/>
        </w:rPr>
        <w:t>（二）指标解释</w:t>
      </w:r>
    </w:p>
    <w:p w14:paraId="4E29C76B">
      <w:pPr>
        <w:keepNext w:val="0"/>
        <w:keepLines w:val="0"/>
        <w:pageBreakBefore w:val="0"/>
        <w:widowControl/>
        <w:numPr>
          <w:ilvl w:val="0"/>
          <w:numId w:val="0"/>
        </w:numPr>
        <w:wordWrap/>
        <w:overflowPunct/>
        <w:topLinePunct w:val="0"/>
        <w:bidi w:val="0"/>
        <w:spacing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区域内水土保持状况良好的面积（非水土流失面积）占国土面积的比例。</w:t>
      </w:r>
    </w:p>
    <w:p w14:paraId="0E4A4CCC">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Fonts w:hint="eastAsia" w:ascii="楷体_GB2312" w:hAnsi="Times New Roman" w:eastAsia="楷体_GB2312" w:cs="Times New Roman"/>
          <w:b/>
          <w:color w:val="auto"/>
          <w:kern w:val="0"/>
          <w:sz w:val="32"/>
          <w:szCs w:val="32"/>
          <w:lang w:val="en-US" w:eastAsia="zh-CN"/>
        </w:rPr>
      </w:pPr>
      <w:r>
        <w:rPr>
          <w:rFonts w:hint="eastAsia" w:ascii="楷体_GB2312" w:hAnsi="Times New Roman" w:eastAsia="楷体_GB2312" w:cs="Times New Roman"/>
          <w:b/>
          <w:color w:val="auto"/>
          <w:kern w:val="0"/>
          <w:sz w:val="32"/>
          <w:szCs w:val="32"/>
          <w:lang w:val="en-US" w:eastAsia="zh-CN"/>
        </w:rPr>
        <w:t>（三）评估数据来源</w:t>
      </w:r>
    </w:p>
    <w:p w14:paraId="72A8FE91">
      <w:pPr>
        <w:keepNext w:val="0"/>
        <w:keepLines w:val="0"/>
        <w:pageBreakBefore w:val="0"/>
        <w:widowControl/>
        <w:numPr>
          <w:ilvl w:val="0"/>
          <w:numId w:val="0"/>
        </w:numPr>
        <w:wordWrap/>
        <w:overflowPunct/>
        <w:topLinePunct w:val="0"/>
        <w:bidi w:val="0"/>
        <w:spacing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水务、自然资源、林草等相关部门。</w:t>
      </w:r>
    </w:p>
    <w:p w14:paraId="3632216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hint="eastAsia" w:ascii="黑体" w:hAnsi="Times New Roman" w:eastAsia="黑体" w:cs="Times New Roman"/>
          <w:color w:val="auto"/>
          <w:kern w:val="0"/>
          <w:sz w:val="32"/>
          <w:szCs w:val="32"/>
          <w:lang w:val="en-US" w:eastAsia="zh-CN"/>
        </w:rPr>
      </w:pPr>
      <w:r>
        <w:rPr>
          <w:rFonts w:hint="eastAsia" w:ascii="黑体" w:hAnsi="Times New Roman" w:eastAsia="黑体" w:cs="Times New Roman"/>
          <w:color w:val="auto"/>
          <w:kern w:val="0"/>
          <w:sz w:val="32"/>
          <w:szCs w:val="32"/>
          <w:lang w:val="en-US" w:eastAsia="zh-CN"/>
        </w:rPr>
        <w:t>六、生态清洁小流域建设及乡村河湖长效管护</w:t>
      </w:r>
    </w:p>
    <w:p w14:paraId="17A99F91">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Fonts w:hint="eastAsia" w:ascii="楷体_GB2312" w:hAnsi="Times New Roman" w:eastAsia="楷体_GB2312" w:cs="Times New Roman"/>
          <w:b/>
          <w:color w:val="auto"/>
          <w:kern w:val="0"/>
          <w:sz w:val="32"/>
          <w:szCs w:val="32"/>
          <w:lang w:val="en-US" w:eastAsia="zh-CN"/>
        </w:rPr>
      </w:pPr>
      <w:r>
        <w:rPr>
          <w:rFonts w:hint="eastAsia" w:ascii="楷体_GB2312" w:hAnsi="Times New Roman" w:eastAsia="楷体_GB2312" w:cs="Times New Roman"/>
          <w:b/>
          <w:color w:val="auto"/>
          <w:kern w:val="0"/>
          <w:sz w:val="32"/>
          <w:szCs w:val="32"/>
          <w:lang w:val="en-US" w:eastAsia="zh-CN"/>
        </w:rPr>
        <w:t>（一）指标要求</w:t>
      </w:r>
    </w:p>
    <w:p w14:paraId="3069A420">
      <w:pPr>
        <w:keepNext w:val="0"/>
        <w:keepLines w:val="0"/>
        <w:pageBreakBefore w:val="0"/>
        <w:widowControl/>
        <w:numPr>
          <w:ilvl w:val="0"/>
          <w:numId w:val="0"/>
        </w:numPr>
        <w:wordWrap/>
        <w:overflowPunct/>
        <w:topLinePunct w:val="0"/>
        <w:bidi w:val="0"/>
        <w:spacing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适宜区域基本建成生态清洁小流域，乡村河湖长效管护机制基本建立并有效落实。</w:t>
      </w:r>
    </w:p>
    <w:p w14:paraId="5796CF6B">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Fonts w:hint="eastAsia" w:ascii="楷体_GB2312" w:hAnsi="Times New Roman" w:eastAsia="楷体_GB2312" w:cs="Times New Roman"/>
          <w:b/>
          <w:color w:val="auto"/>
          <w:kern w:val="0"/>
          <w:sz w:val="32"/>
          <w:szCs w:val="32"/>
          <w:lang w:val="en-US" w:eastAsia="zh-CN"/>
        </w:rPr>
      </w:pPr>
      <w:r>
        <w:rPr>
          <w:rFonts w:hint="eastAsia" w:ascii="楷体_GB2312" w:hAnsi="Times New Roman" w:eastAsia="楷体_GB2312" w:cs="Times New Roman"/>
          <w:b/>
          <w:color w:val="auto"/>
          <w:kern w:val="0"/>
          <w:sz w:val="32"/>
          <w:szCs w:val="32"/>
          <w:lang w:val="en-US" w:eastAsia="zh-CN"/>
        </w:rPr>
        <w:t>（二）指标解释</w:t>
      </w:r>
    </w:p>
    <w:p w14:paraId="59D293DA">
      <w:pPr>
        <w:keepNext w:val="0"/>
        <w:keepLines w:val="0"/>
        <w:pageBreakBefore w:val="0"/>
        <w:widowControl/>
        <w:numPr>
          <w:ilvl w:val="0"/>
          <w:numId w:val="0"/>
        </w:numPr>
        <w:wordWrap/>
        <w:overflowPunct/>
        <w:topLinePunct w:val="0"/>
        <w:bidi w:val="0"/>
        <w:spacing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村庄或城镇周边水系、江河源头、水源地、自然资源与人文禀赋条件较好和经济社会发展潜力较大等适宜建设生态清洁小流域的区域，按照《生态清洁小流域建设技术规范》，基本建成生态清洁小流域。</w:t>
      </w:r>
    </w:p>
    <w:p w14:paraId="379D759C">
      <w:pPr>
        <w:keepNext w:val="0"/>
        <w:keepLines w:val="0"/>
        <w:pageBreakBefore w:val="0"/>
        <w:widowControl/>
        <w:numPr>
          <w:ilvl w:val="0"/>
          <w:numId w:val="0"/>
        </w:numPr>
        <w:wordWrap/>
        <w:overflowPunct/>
        <w:topLinePunct w:val="0"/>
        <w:bidi w:val="0"/>
        <w:spacing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建立乡村河湖巡查管护队伍，落实日常巡查、保洁等相关制度，建立资金保障机制，定期巡查，水体得到有效管护。</w:t>
      </w:r>
    </w:p>
    <w:p w14:paraId="470CD3BA">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Fonts w:hint="eastAsia" w:ascii="楷体_GB2312" w:hAnsi="Times New Roman" w:eastAsia="楷体_GB2312" w:cs="Times New Roman"/>
          <w:b/>
          <w:color w:val="auto"/>
          <w:kern w:val="0"/>
          <w:sz w:val="32"/>
          <w:szCs w:val="32"/>
          <w:lang w:val="en-US" w:eastAsia="zh-CN"/>
        </w:rPr>
      </w:pPr>
      <w:r>
        <w:rPr>
          <w:rFonts w:hint="eastAsia" w:ascii="楷体_GB2312" w:hAnsi="Times New Roman" w:eastAsia="楷体_GB2312" w:cs="Times New Roman"/>
          <w:b/>
          <w:color w:val="auto"/>
          <w:kern w:val="0"/>
          <w:sz w:val="32"/>
          <w:szCs w:val="32"/>
          <w:lang w:val="en-US" w:eastAsia="zh-CN"/>
        </w:rPr>
        <w:t>（三）评估数据来源</w:t>
      </w:r>
    </w:p>
    <w:p w14:paraId="23756DF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hint="eastAsia" w:ascii="楷体_GB2312" w:hAnsi="Times New Roman" w:eastAsia="楷体_GB2312" w:cs="Times New Roman"/>
          <w:b/>
          <w:color w:val="auto"/>
          <w:kern w:val="0"/>
          <w:sz w:val="32"/>
          <w:szCs w:val="32"/>
          <w:lang w:val="en-US" w:eastAsia="zh-CN"/>
        </w:rPr>
      </w:pPr>
      <w:r>
        <w:rPr>
          <w:rFonts w:hint="eastAsia" w:ascii="仿宋_GB2312" w:hAnsi="仿宋_GB2312" w:eastAsia="仿宋_GB2312" w:cs="仿宋_GB2312"/>
          <w:color w:val="auto"/>
          <w:sz w:val="32"/>
          <w:szCs w:val="32"/>
          <w:lang w:val="en-US" w:eastAsia="zh-CN"/>
        </w:rPr>
        <w:t>水务、农业农村等相关部门。</w:t>
      </w:r>
    </w:p>
    <w:p w14:paraId="7FDC2AA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hint="eastAsia" w:ascii="黑体" w:hAnsi="Times New Roman" w:eastAsia="黑体" w:cs="Times New Roman"/>
          <w:color w:val="auto"/>
          <w:kern w:val="0"/>
          <w:sz w:val="32"/>
          <w:szCs w:val="32"/>
          <w:lang w:val="en-US" w:eastAsia="zh-CN"/>
        </w:rPr>
      </w:pPr>
      <w:r>
        <w:rPr>
          <w:rFonts w:hint="eastAsia" w:ascii="黑体" w:hAnsi="Times New Roman" w:eastAsia="黑体" w:cs="Times New Roman"/>
          <w:color w:val="auto"/>
          <w:kern w:val="0"/>
          <w:sz w:val="32"/>
          <w:szCs w:val="32"/>
          <w:lang w:val="en-US" w:eastAsia="zh-CN"/>
        </w:rPr>
        <w:t>七、生态质量指数（EQI）</w:t>
      </w:r>
    </w:p>
    <w:p w14:paraId="7357D90B">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Fonts w:hint="eastAsia" w:ascii="楷体_GB2312" w:hAnsi="Times New Roman" w:eastAsia="楷体_GB2312" w:cs="Times New Roman"/>
          <w:b/>
          <w:color w:val="auto"/>
          <w:kern w:val="0"/>
          <w:sz w:val="32"/>
          <w:szCs w:val="32"/>
          <w:lang w:val="en-US" w:eastAsia="zh-CN"/>
        </w:rPr>
      </w:pPr>
      <w:r>
        <w:rPr>
          <w:rFonts w:hint="eastAsia" w:ascii="楷体_GB2312" w:hAnsi="Times New Roman" w:eastAsia="楷体_GB2312" w:cs="Times New Roman"/>
          <w:b/>
          <w:color w:val="auto"/>
          <w:kern w:val="0"/>
          <w:sz w:val="32"/>
          <w:szCs w:val="32"/>
          <w:lang w:val="en-US" w:eastAsia="zh-CN"/>
        </w:rPr>
        <w:t>（一）指标要求</w:t>
      </w:r>
    </w:p>
    <w:p w14:paraId="1599ABFF">
      <w:pPr>
        <w:keepNext w:val="0"/>
        <w:keepLines w:val="0"/>
        <w:pageBreakBefore w:val="0"/>
        <w:widowControl/>
        <w:numPr>
          <w:ilvl w:val="0"/>
          <w:numId w:val="0"/>
        </w:numPr>
        <w:wordWrap/>
        <w:overflowPunct/>
        <w:topLinePunct w:val="0"/>
        <w:bidi w:val="0"/>
        <w:spacing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∆EQI&gt;-1。</w:t>
      </w:r>
    </w:p>
    <w:p w14:paraId="63F4E427">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Fonts w:hint="eastAsia" w:ascii="楷体_GB2312" w:hAnsi="Times New Roman" w:eastAsia="楷体_GB2312" w:cs="Times New Roman"/>
          <w:b/>
          <w:color w:val="auto"/>
          <w:kern w:val="0"/>
          <w:sz w:val="32"/>
          <w:szCs w:val="32"/>
          <w:lang w:val="en-US" w:eastAsia="zh-CN"/>
        </w:rPr>
      </w:pPr>
      <w:r>
        <w:rPr>
          <w:rFonts w:hint="eastAsia" w:ascii="楷体_GB2312" w:hAnsi="Times New Roman" w:eastAsia="楷体_GB2312" w:cs="Times New Roman"/>
          <w:b/>
          <w:color w:val="auto"/>
          <w:kern w:val="0"/>
          <w:sz w:val="32"/>
          <w:szCs w:val="32"/>
          <w:lang w:val="en-US" w:eastAsia="zh-CN"/>
        </w:rPr>
        <w:t>（二）指标解释</w:t>
      </w:r>
    </w:p>
    <w:p w14:paraId="001FAB35">
      <w:pPr>
        <w:keepNext w:val="0"/>
        <w:keepLines w:val="0"/>
        <w:pageBreakBefore w:val="0"/>
        <w:widowControl/>
        <w:numPr>
          <w:ilvl w:val="0"/>
          <w:numId w:val="0"/>
        </w:numPr>
        <w:wordWrap/>
        <w:overflowPunct/>
        <w:topLinePunct w:val="0"/>
        <w:bidi w:val="0"/>
        <w:spacing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区域内生态质量状况的生态格局、生态功能、生物多样性、生态胁迫的综合反映。∆EQI表示评估年生态质量指数与上一年生态质量指数的差值。执行《区域生态质量评价办法（试行）》（环监测〔2021〕99号）。</w:t>
      </w:r>
    </w:p>
    <w:p w14:paraId="7E014277">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Fonts w:hint="eastAsia" w:ascii="楷体_GB2312" w:hAnsi="Times New Roman" w:eastAsia="楷体_GB2312" w:cs="Times New Roman"/>
          <w:b/>
          <w:color w:val="auto"/>
          <w:kern w:val="0"/>
          <w:sz w:val="32"/>
          <w:szCs w:val="32"/>
          <w:lang w:val="en-US" w:eastAsia="zh-CN"/>
        </w:rPr>
      </w:pPr>
      <w:r>
        <w:rPr>
          <w:rFonts w:hint="eastAsia" w:ascii="楷体_GB2312" w:hAnsi="Times New Roman" w:eastAsia="楷体_GB2312" w:cs="Times New Roman"/>
          <w:b/>
          <w:color w:val="auto"/>
          <w:kern w:val="0"/>
          <w:sz w:val="32"/>
          <w:szCs w:val="32"/>
          <w:lang w:val="en-US" w:eastAsia="zh-CN"/>
        </w:rPr>
        <w:t>（三）评估数据来源</w:t>
      </w:r>
    </w:p>
    <w:p w14:paraId="70CDE217">
      <w:pPr>
        <w:keepNext w:val="0"/>
        <w:keepLines w:val="0"/>
        <w:pageBreakBefore w:val="0"/>
        <w:widowControl/>
        <w:numPr>
          <w:ilvl w:val="0"/>
          <w:numId w:val="0"/>
        </w:numPr>
        <w:wordWrap/>
        <w:overflowPunct/>
        <w:topLinePunct w:val="0"/>
        <w:bidi w:val="0"/>
        <w:spacing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生态环境等相关部门。</w:t>
      </w:r>
    </w:p>
    <w:p w14:paraId="60914B8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hint="eastAsia" w:ascii="黑体" w:hAnsi="Times New Roman" w:eastAsia="黑体" w:cs="Times New Roman"/>
          <w:color w:val="auto"/>
          <w:kern w:val="0"/>
          <w:sz w:val="32"/>
          <w:szCs w:val="32"/>
          <w:lang w:val="en-US" w:eastAsia="zh-CN"/>
        </w:rPr>
      </w:pPr>
      <w:r>
        <w:rPr>
          <w:rFonts w:hint="eastAsia" w:ascii="黑体" w:hAnsi="Times New Roman" w:eastAsia="黑体" w:cs="Times New Roman"/>
          <w:color w:val="auto"/>
          <w:kern w:val="0"/>
          <w:sz w:val="32"/>
          <w:szCs w:val="32"/>
          <w:lang w:val="en-US" w:eastAsia="zh-CN"/>
        </w:rPr>
        <w:t>八、耕地土壤有机质含量</w:t>
      </w:r>
    </w:p>
    <w:p w14:paraId="4FA57068">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Fonts w:hint="eastAsia" w:ascii="楷体_GB2312" w:hAnsi="Times New Roman" w:eastAsia="楷体_GB2312" w:cs="Times New Roman"/>
          <w:b/>
          <w:color w:val="auto"/>
          <w:kern w:val="0"/>
          <w:sz w:val="32"/>
          <w:szCs w:val="32"/>
          <w:lang w:val="en-US" w:eastAsia="zh-CN"/>
        </w:rPr>
      </w:pPr>
      <w:r>
        <w:rPr>
          <w:rFonts w:hint="eastAsia" w:ascii="楷体_GB2312" w:hAnsi="Times New Roman" w:eastAsia="楷体_GB2312" w:cs="Times New Roman"/>
          <w:b/>
          <w:color w:val="auto"/>
          <w:kern w:val="0"/>
          <w:sz w:val="32"/>
          <w:szCs w:val="32"/>
          <w:lang w:val="en-US" w:eastAsia="zh-CN"/>
        </w:rPr>
        <w:t>（一）指标要求</w:t>
      </w:r>
    </w:p>
    <w:p w14:paraId="3207C6EF">
      <w:pPr>
        <w:keepNext w:val="0"/>
        <w:keepLines w:val="0"/>
        <w:pageBreakBefore w:val="0"/>
        <w:widowControl/>
        <w:numPr>
          <w:ilvl w:val="0"/>
          <w:numId w:val="0"/>
        </w:numPr>
        <w:wordWrap/>
        <w:overflowPunct/>
        <w:topLinePunct w:val="0"/>
        <w:bidi w:val="0"/>
        <w:spacing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耕地土壤有机质含量基本稳定或提高。</w:t>
      </w:r>
    </w:p>
    <w:p w14:paraId="5A3949B0">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Fonts w:hint="eastAsia" w:ascii="楷体_GB2312" w:hAnsi="Times New Roman" w:eastAsia="楷体_GB2312" w:cs="Times New Roman"/>
          <w:b/>
          <w:color w:val="auto"/>
          <w:kern w:val="0"/>
          <w:sz w:val="32"/>
          <w:szCs w:val="32"/>
          <w:lang w:val="en-US" w:eastAsia="zh-CN"/>
        </w:rPr>
      </w:pPr>
      <w:r>
        <w:rPr>
          <w:rFonts w:hint="eastAsia" w:ascii="楷体_GB2312" w:hAnsi="Times New Roman" w:eastAsia="楷体_GB2312" w:cs="Times New Roman"/>
          <w:b/>
          <w:color w:val="auto"/>
          <w:kern w:val="0"/>
          <w:sz w:val="32"/>
          <w:szCs w:val="32"/>
          <w:lang w:val="en-US" w:eastAsia="zh-CN"/>
        </w:rPr>
        <w:t>（二）指标解释</w:t>
      </w:r>
    </w:p>
    <w:p w14:paraId="22E47317">
      <w:pPr>
        <w:keepNext w:val="0"/>
        <w:keepLines w:val="0"/>
        <w:pageBreakBefore w:val="0"/>
        <w:widowControl/>
        <w:numPr>
          <w:ilvl w:val="0"/>
          <w:numId w:val="0"/>
        </w:numPr>
        <w:wordWrap/>
        <w:overflowPunct/>
        <w:topLinePunct w:val="0"/>
        <w:bidi w:val="0"/>
        <w:spacing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土壤有机质含量是指单位体积土壤中含有的各种动植物残体与微生物及其分解合成的有机物质的数量。一般以有机质占干土重的百分数表示。</w:t>
      </w:r>
    </w:p>
    <w:p w14:paraId="75F89C76">
      <w:pPr>
        <w:keepNext w:val="0"/>
        <w:keepLines w:val="0"/>
        <w:pageBreakBefore w:val="0"/>
        <w:widowControl/>
        <w:numPr>
          <w:ilvl w:val="0"/>
          <w:numId w:val="0"/>
        </w:numPr>
        <w:wordWrap/>
        <w:overflowPunct/>
        <w:topLinePunct w:val="0"/>
        <w:bidi w:val="0"/>
        <w:spacing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区域内耕地土壤有机质含量较上一年度或时期保持基本稳定或提高。</w:t>
      </w:r>
    </w:p>
    <w:p w14:paraId="22DE96C9">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Fonts w:hint="eastAsia" w:ascii="楷体_GB2312" w:hAnsi="Times New Roman" w:eastAsia="楷体_GB2312" w:cs="Times New Roman"/>
          <w:b/>
          <w:color w:val="auto"/>
          <w:kern w:val="0"/>
          <w:sz w:val="32"/>
          <w:szCs w:val="32"/>
          <w:lang w:val="en-US" w:eastAsia="zh-CN"/>
        </w:rPr>
      </w:pPr>
      <w:r>
        <w:rPr>
          <w:rFonts w:hint="eastAsia" w:ascii="楷体_GB2312" w:hAnsi="Times New Roman" w:eastAsia="楷体_GB2312" w:cs="Times New Roman"/>
          <w:b/>
          <w:color w:val="auto"/>
          <w:kern w:val="0"/>
          <w:sz w:val="32"/>
          <w:szCs w:val="32"/>
          <w:lang w:val="en-US" w:eastAsia="zh-CN"/>
        </w:rPr>
        <w:t>（三）评估数据来源</w:t>
      </w:r>
    </w:p>
    <w:p w14:paraId="5C60A4EA">
      <w:pPr>
        <w:keepNext w:val="0"/>
        <w:keepLines w:val="0"/>
        <w:pageBreakBefore w:val="0"/>
        <w:widowControl/>
        <w:numPr>
          <w:ilvl w:val="0"/>
          <w:numId w:val="0"/>
        </w:numPr>
        <w:wordWrap/>
        <w:overflowPunct/>
        <w:topLinePunct w:val="0"/>
        <w:bidi w:val="0"/>
        <w:spacing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农业农村等相关部门。</w:t>
      </w:r>
    </w:p>
    <w:p w14:paraId="64527B1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hint="eastAsia" w:ascii="黑体" w:hAnsi="Times New Roman" w:eastAsia="黑体" w:cs="Times New Roman"/>
          <w:color w:val="auto"/>
          <w:kern w:val="0"/>
          <w:sz w:val="32"/>
          <w:szCs w:val="32"/>
          <w:lang w:val="en-US" w:eastAsia="zh-CN"/>
        </w:rPr>
      </w:pPr>
      <w:r>
        <w:rPr>
          <w:rFonts w:hint="eastAsia" w:ascii="黑体" w:hAnsi="Times New Roman" w:eastAsia="黑体" w:cs="Times New Roman"/>
          <w:color w:val="auto"/>
          <w:kern w:val="0"/>
          <w:sz w:val="32"/>
          <w:szCs w:val="32"/>
          <w:lang w:val="en-US" w:eastAsia="zh-CN"/>
        </w:rPr>
        <w:t>九、农药包装废弃物回收率</w:t>
      </w:r>
    </w:p>
    <w:p w14:paraId="2E3C4A3B">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Fonts w:hint="eastAsia" w:ascii="楷体_GB2312" w:hAnsi="Times New Roman" w:eastAsia="楷体_GB2312" w:cs="Times New Roman"/>
          <w:b/>
          <w:color w:val="auto"/>
          <w:kern w:val="0"/>
          <w:sz w:val="32"/>
          <w:szCs w:val="32"/>
          <w:lang w:val="en-US" w:eastAsia="zh-CN"/>
        </w:rPr>
      </w:pPr>
      <w:r>
        <w:rPr>
          <w:rFonts w:hint="eastAsia" w:ascii="楷体_GB2312" w:hAnsi="Times New Roman" w:eastAsia="楷体_GB2312" w:cs="Times New Roman"/>
          <w:b/>
          <w:color w:val="auto"/>
          <w:kern w:val="0"/>
          <w:sz w:val="32"/>
          <w:szCs w:val="32"/>
          <w:lang w:val="en-US" w:eastAsia="zh-CN"/>
        </w:rPr>
        <w:t>（一）指标要求</w:t>
      </w:r>
    </w:p>
    <w:p w14:paraId="42F4EF96">
      <w:pPr>
        <w:keepNext w:val="0"/>
        <w:keepLines w:val="0"/>
        <w:pageBreakBefore w:val="0"/>
        <w:widowControl/>
        <w:numPr>
          <w:ilvl w:val="0"/>
          <w:numId w:val="0"/>
        </w:numPr>
        <w:wordWrap/>
        <w:overflowPunct/>
        <w:topLinePunct w:val="0"/>
        <w:bidi w:val="0"/>
        <w:spacing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到2027年，农药包装废弃物回收率达到80%以上；到2035年，农药包装废弃物回收率达到90%以上。</w:t>
      </w:r>
    </w:p>
    <w:p w14:paraId="3A49DDE2">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Fonts w:hint="eastAsia" w:ascii="楷体_GB2312" w:hAnsi="Times New Roman" w:eastAsia="楷体_GB2312" w:cs="Times New Roman"/>
          <w:b/>
          <w:color w:val="auto"/>
          <w:kern w:val="0"/>
          <w:sz w:val="32"/>
          <w:szCs w:val="32"/>
          <w:lang w:val="en-US" w:eastAsia="zh-CN"/>
        </w:rPr>
      </w:pPr>
      <w:r>
        <w:rPr>
          <w:rFonts w:hint="eastAsia" w:ascii="楷体_GB2312" w:hAnsi="Times New Roman" w:eastAsia="楷体_GB2312" w:cs="Times New Roman"/>
          <w:b/>
          <w:color w:val="auto"/>
          <w:kern w:val="0"/>
          <w:sz w:val="32"/>
          <w:szCs w:val="32"/>
          <w:lang w:val="en-US" w:eastAsia="zh-CN"/>
        </w:rPr>
        <w:t>（二）指标解释</w:t>
      </w:r>
    </w:p>
    <w:p w14:paraId="60903EB5">
      <w:pPr>
        <w:keepNext w:val="0"/>
        <w:keepLines w:val="0"/>
        <w:pageBreakBefore w:val="0"/>
        <w:widowControl/>
        <w:numPr>
          <w:ilvl w:val="0"/>
          <w:numId w:val="0"/>
        </w:numPr>
        <w:wordWrap/>
        <w:overflowPunct/>
        <w:topLinePunct w:val="0"/>
        <w:bidi w:val="0"/>
        <w:spacing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农药包装废弃物回收率是指农药包装废弃物回收量占产生量的比例。计算方法：农药包装废弃物回收率（%）=农药包装废弃物回收量</w:t>
      </w:r>
      <w:r>
        <w:rPr>
          <w:rFonts w:hint="default" w:ascii="Arial" w:hAnsi="Arial" w:eastAsia="仿宋_GB2312" w:cs="Arial"/>
          <w:color w:val="auto"/>
          <w:sz w:val="32"/>
          <w:szCs w:val="32"/>
          <w:lang w:val="en-US" w:eastAsia="zh-CN"/>
        </w:rPr>
        <w:t>÷</w:t>
      </w:r>
      <w:r>
        <w:rPr>
          <w:rFonts w:hint="eastAsia" w:ascii="仿宋_GB2312" w:hAnsi="仿宋_GB2312" w:eastAsia="仿宋_GB2312" w:cs="仿宋_GB2312"/>
          <w:color w:val="auto"/>
          <w:sz w:val="32"/>
          <w:szCs w:val="32"/>
          <w:lang w:val="en-US" w:eastAsia="zh-CN"/>
        </w:rPr>
        <w:t>农药包装废弃物产生量</w:t>
      </w:r>
      <w:r>
        <w:rPr>
          <w:rFonts w:hint="default" w:ascii="Arial" w:hAnsi="Arial" w:eastAsia="仿宋_GB2312" w:cs="Arial"/>
          <w:color w:val="auto"/>
          <w:sz w:val="32"/>
          <w:szCs w:val="32"/>
          <w:lang w:val="en-US" w:eastAsia="zh-CN"/>
        </w:rPr>
        <w:t>×</w:t>
      </w:r>
      <w:r>
        <w:rPr>
          <w:rFonts w:hint="eastAsia" w:ascii="仿宋_GB2312" w:hAnsi="仿宋_GB2312" w:eastAsia="仿宋_GB2312" w:cs="仿宋_GB2312"/>
          <w:color w:val="auto"/>
          <w:sz w:val="32"/>
          <w:szCs w:val="32"/>
          <w:lang w:val="en-US" w:eastAsia="zh-CN"/>
        </w:rPr>
        <w:t>100%。</w:t>
      </w:r>
    </w:p>
    <w:p w14:paraId="1712851B">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Fonts w:hint="default" w:ascii="楷体_GB2312" w:hAnsi="Times New Roman" w:eastAsia="楷体_GB2312" w:cs="Times New Roman"/>
          <w:b/>
          <w:color w:val="auto"/>
          <w:kern w:val="0"/>
          <w:sz w:val="32"/>
          <w:szCs w:val="32"/>
          <w:lang w:val="en-US" w:eastAsia="zh-CN"/>
        </w:rPr>
      </w:pPr>
      <w:r>
        <w:rPr>
          <w:rFonts w:hint="eastAsia" w:ascii="楷体_GB2312" w:hAnsi="Times New Roman" w:eastAsia="楷体_GB2312" w:cs="Times New Roman"/>
          <w:b/>
          <w:color w:val="auto"/>
          <w:kern w:val="0"/>
          <w:sz w:val="32"/>
          <w:szCs w:val="32"/>
          <w:lang w:val="en-US" w:eastAsia="zh-CN"/>
        </w:rPr>
        <w:t>（三）评估数据来源</w:t>
      </w:r>
    </w:p>
    <w:p w14:paraId="6FD25E1B">
      <w:pPr>
        <w:keepNext w:val="0"/>
        <w:keepLines w:val="0"/>
        <w:pageBreakBefore w:val="0"/>
        <w:widowControl/>
        <w:numPr>
          <w:ilvl w:val="0"/>
          <w:numId w:val="0"/>
        </w:numPr>
        <w:wordWrap/>
        <w:overflowPunct/>
        <w:topLinePunct w:val="0"/>
        <w:bidi w:val="0"/>
        <w:spacing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农业农村等相关部门。</w:t>
      </w:r>
    </w:p>
    <w:p w14:paraId="3053303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hint="eastAsia" w:ascii="黑体" w:hAnsi="Times New Roman" w:eastAsia="黑体" w:cs="Times New Roman"/>
          <w:color w:val="auto"/>
          <w:kern w:val="0"/>
          <w:sz w:val="32"/>
          <w:szCs w:val="32"/>
          <w:lang w:val="en-US" w:eastAsia="zh-CN"/>
        </w:rPr>
      </w:pPr>
      <w:r>
        <w:rPr>
          <w:rFonts w:hint="eastAsia" w:ascii="黑体" w:hAnsi="Times New Roman" w:eastAsia="黑体" w:cs="Times New Roman"/>
          <w:color w:val="auto"/>
          <w:kern w:val="0"/>
          <w:sz w:val="32"/>
          <w:szCs w:val="32"/>
          <w:lang w:val="en-US" w:eastAsia="zh-CN"/>
        </w:rPr>
        <w:t>十、农膜生产使用和回收处置</w:t>
      </w:r>
    </w:p>
    <w:p w14:paraId="13D26509">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Fonts w:hint="eastAsia" w:ascii="楷体_GB2312" w:hAnsi="Times New Roman" w:eastAsia="楷体_GB2312" w:cs="Times New Roman"/>
          <w:b/>
          <w:color w:val="auto"/>
          <w:kern w:val="0"/>
          <w:sz w:val="32"/>
          <w:szCs w:val="32"/>
          <w:lang w:val="en-US" w:eastAsia="zh-CN"/>
        </w:rPr>
      </w:pPr>
      <w:r>
        <w:rPr>
          <w:rFonts w:hint="eastAsia" w:ascii="楷体_GB2312" w:hAnsi="Times New Roman" w:eastAsia="楷体_GB2312" w:cs="Times New Roman"/>
          <w:b/>
          <w:color w:val="auto"/>
          <w:kern w:val="0"/>
          <w:sz w:val="32"/>
          <w:szCs w:val="32"/>
          <w:lang w:val="en-US" w:eastAsia="zh-CN"/>
        </w:rPr>
        <w:t>（一）指标要求</w:t>
      </w:r>
    </w:p>
    <w:p w14:paraId="0A3A36F3">
      <w:pPr>
        <w:keepNext w:val="0"/>
        <w:keepLines w:val="0"/>
        <w:pageBreakBefore w:val="0"/>
        <w:widowControl/>
        <w:numPr>
          <w:ilvl w:val="0"/>
          <w:numId w:val="0"/>
        </w:numPr>
        <w:wordWrap/>
        <w:overflowPunct/>
        <w:topLinePunct w:val="0"/>
        <w:bidi w:val="0"/>
        <w:spacing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基本消除违规生产、销售、使用农膜现象。农膜产品质量省级监督抽查，不合格产品发现率</w:t>
      </w:r>
      <w:r>
        <w:rPr>
          <w:rFonts w:hint="eastAsia" w:ascii="仿宋_GB2312" w:hAnsi="仿宋_GB2312" w:eastAsia="仿宋_GB2312" w:cs="仿宋_GB2312"/>
          <w:snapToGrid w:val="0"/>
          <w:color w:val="auto"/>
          <w:kern w:val="0"/>
          <w:sz w:val="24"/>
          <w:szCs w:val="24"/>
          <w:highlight w:val="none"/>
          <w:lang w:val="en-US" w:eastAsia="zh-CN" w:bidi="ar"/>
        </w:rPr>
        <w:t>≤</w:t>
      </w:r>
      <w:r>
        <w:rPr>
          <w:rFonts w:hint="eastAsia" w:ascii="仿宋_GB2312" w:hAnsi="仿宋_GB2312" w:eastAsia="仿宋_GB2312" w:cs="仿宋_GB2312"/>
          <w:color w:val="auto"/>
          <w:sz w:val="32"/>
          <w:szCs w:val="32"/>
          <w:lang w:val="en-US" w:eastAsia="zh-CN"/>
        </w:rPr>
        <w:t>7%。</w:t>
      </w:r>
    </w:p>
    <w:p w14:paraId="6E690EC6">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Fonts w:hint="eastAsia" w:ascii="楷体_GB2312" w:hAnsi="Times New Roman" w:eastAsia="楷体_GB2312" w:cs="Times New Roman"/>
          <w:b/>
          <w:color w:val="auto"/>
          <w:kern w:val="0"/>
          <w:sz w:val="32"/>
          <w:szCs w:val="32"/>
          <w:lang w:val="en-US" w:eastAsia="zh-CN"/>
        </w:rPr>
      </w:pPr>
      <w:r>
        <w:rPr>
          <w:rFonts w:hint="eastAsia" w:ascii="楷体_GB2312" w:hAnsi="Times New Roman" w:eastAsia="楷体_GB2312" w:cs="Times New Roman"/>
          <w:b/>
          <w:color w:val="auto"/>
          <w:kern w:val="0"/>
          <w:sz w:val="32"/>
          <w:szCs w:val="32"/>
          <w:lang w:val="en-US" w:eastAsia="zh-CN"/>
        </w:rPr>
        <w:t>（二）指标解释</w:t>
      </w:r>
    </w:p>
    <w:p w14:paraId="7E380224">
      <w:pPr>
        <w:keepNext w:val="0"/>
        <w:keepLines w:val="0"/>
        <w:pageBreakBefore w:val="0"/>
        <w:widowControl/>
        <w:numPr>
          <w:ilvl w:val="0"/>
          <w:numId w:val="0"/>
        </w:numPr>
        <w:wordWrap/>
        <w:overflowPunct/>
        <w:topLinePunct w:val="0"/>
        <w:bidi w:val="0"/>
        <w:spacing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通过例行检查、专项抽查和重点排查相结合的方式，未发现生产、销售、使用国家明令禁止或者不符合强制性国家标准的农用薄膜情况。农膜处置率是指经综合处置的废旧农膜量占农膜使用总量的比例。</w:t>
      </w:r>
    </w:p>
    <w:p w14:paraId="1A395F6F">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Fonts w:hint="eastAsia" w:ascii="楷体_GB2312" w:hAnsi="Times New Roman" w:eastAsia="楷体_GB2312" w:cs="Times New Roman"/>
          <w:b/>
          <w:color w:val="auto"/>
          <w:kern w:val="0"/>
          <w:sz w:val="32"/>
          <w:szCs w:val="32"/>
          <w:lang w:val="en-US" w:eastAsia="zh-CN"/>
        </w:rPr>
      </w:pPr>
      <w:r>
        <w:rPr>
          <w:rFonts w:hint="eastAsia" w:ascii="楷体_GB2312" w:hAnsi="Times New Roman" w:eastAsia="楷体_GB2312" w:cs="Times New Roman"/>
          <w:b/>
          <w:color w:val="auto"/>
          <w:kern w:val="0"/>
          <w:sz w:val="32"/>
          <w:szCs w:val="32"/>
          <w:lang w:val="en-US" w:eastAsia="zh-CN"/>
        </w:rPr>
        <w:t>（三）评估数据来源</w:t>
      </w:r>
    </w:p>
    <w:p w14:paraId="700F463F">
      <w:pPr>
        <w:keepNext w:val="0"/>
        <w:keepLines w:val="0"/>
        <w:pageBreakBefore w:val="0"/>
        <w:widowControl/>
        <w:numPr>
          <w:ilvl w:val="0"/>
          <w:numId w:val="0"/>
        </w:numPr>
        <w:wordWrap/>
        <w:overflowPunct/>
        <w:topLinePunct w:val="0"/>
        <w:bidi w:val="0"/>
        <w:spacing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农业农村、市场监管等相关部门。</w:t>
      </w:r>
    </w:p>
    <w:p w14:paraId="42A2E7C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hint="eastAsia" w:ascii="黑体" w:hAnsi="Times New Roman" w:eastAsia="黑体" w:cs="Times New Roman"/>
          <w:color w:val="auto"/>
          <w:kern w:val="0"/>
          <w:sz w:val="32"/>
          <w:szCs w:val="32"/>
          <w:lang w:val="en-US" w:eastAsia="zh-CN"/>
        </w:rPr>
      </w:pPr>
      <w:r>
        <w:rPr>
          <w:rFonts w:hint="eastAsia" w:ascii="黑体" w:hAnsi="Times New Roman" w:eastAsia="黑体" w:cs="Times New Roman"/>
          <w:color w:val="auto"/>
          <w:kern w:val="0"/>
          <w:sz w:val="32"/>
          <w:szCs w:val="32"/>
          <w:lang w:val="en-US" w:eastAsia="zh-CN"/>
        </w:rPr>
        <w:t>十一、秸秆利用和管控</w:t>
      </w:r>
    </w:p>
    <w:p w14:paraId="056BFBDE">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Fonts w:hint="eastAsia" w:ascii="楷体_GB2312" w:hAnsi="Times New Roman" w:eastAsia="楷体_GB2312" w:cs="Times New Roman"/>
          <w:b/>
          <w:color w:val="auto"/>
          <w:kern w:val="0"/>
          <w:sz w:val="32"/>
          <w:szCs w:val="32"/>
          <w:lang w:val="en-US" w:eastAsia="zh-CN"/>
        </w:rPr>
      </w:pPr>
      <w:r>
        <w:rPr>
          <w:rFonts w:hint="eastAsia" w:ascii="楷体_GB2312" w:hAnsi="Times New Roman" w:eastAsia="楷体_GB2312" w:cs="Times New Roman"/>
          <w:b/>
          <w:color w:val="auto"/>
          <w:kern w:val="0"/>
          <w:sz w:val="32"/>
          <w:szCs w:val="32"/>
          <w:lang w:val="en-US" w:eastAsia="zh-CN"/>
        </w:rPr>
        <w:t>（一）指标要求</w:t>
      </w:r>
    </w:p>
    <w:p w14:paraId="18D11E0F">
      <w:pPr>
        <w:keepNext w:val="0"/>
        <w:keepLines w:val="0"/>
        <w:pageBreakBefore w:val="0"/>
        <w:widowControl/>
        <w:numPr>
          <w:ilvl w:val="0"/>
          <w:numId w:val="0"/>
        </w:numPr>
        <w:wordWrap/>
        <w:overflowPunct/>
        <w:topLinePunct w:val="0"/>
        <w:bidi w:val="0"/>
        <w:spacing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秸秆综合利用率2027年稳定在90%以上，2035年稳定在91%以上。基本消除因秸秆集中焚烧引发重污染天气情况。</w:t>
      </w:r>
    </w:p>
    <w:p w14:paraId="1628BEA6">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Fonts w:hint="eastAsia" w:ascii="楷体_GB2312" w:hAnsi="Times New Roman" w:eastAsia="楷体_GB2312" w:cs="Times New Roman"/>
          <w:b/>
          <w:color w:val="auto"/>
          <w:kern w:val="0"/>
          <w:sz w:val="32"/>
          <w:szCs w:val="32"/>
          <w:lang w:val="en-US" w:eastAsia="zh-CN"/>
        </w:rPr>
      </w:pPr>
      <w:r>
        <w:rPr>
          <w:rFonts w:hint="eastAsia" w:ascii="楷体_GB2312" w:hAnsi="Times New Roman" w:eastAsia="楷体_GB2312" w:cs="Times New Roman"/>
          <w:b/>
          <w:color w:val="auto"/>
          <w:kern w:val="0"/>
          <w:sz w:val="32"/>
          <w:szCs w:val="32"/>
          <w:lang w:val="en-US" w:eastAsia="zh-CN"/>
        </w:rPr>
        <w:t>（二）指标解释</w:t>
      </w:r>
    </w:p>
    <w:p w14:paraId="338B467B">
      <w:pPr>
        <w:keepNext w:val="0"/>
        <w:keepLines w:val="0"/>
        <w:pageBreakBefore w:val="0"/>
        <w:widowControl/>
        <w:numPr>
          <w:ilvl w:val="0"/>
          <w:numId w:val="0"/>
        </w:numPr>
        <w:wordWrap/>
        <w:overflowPunct/>
        <w:topLinePunct w:val="0"/>
        <w:bidi w:val="0"/>
        <w:spacing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根据秸秆综合利用率定义（参考《农作物秸秆资源台账数据调查与核算技术规范》NY/T 4158-2022），县域秸秆综合利用率2027年稳定在90%以上，2035年稳定在91%以上，该指标视为合格。</w:t>
      </w:r>
    </w:p>
    <w:p w14:paraId="40553009">
      <w:pPr>
        <w:keepNext w:val="0"/>
        <w:keepLines w:val="0"/>
        <w:pageBreakBefore w:val="0"/>
        <w:widowControl/>
        <w:numPr>
          <w:ilvl w:val="0"/>
          <w:numId w:val="0"/>
        </w:numPr>
        <w:wordWrap/>
        <w:overflowPunct/>
        <w:topLinePunct w:val="0"/>
        <w:bidi w:val="0"/>
        <w:spacing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根据重污染天气的定义（参考《环境空气质量指数（AQI）技术规定（试行）》），未因秸秆集中焚烧引发重污染天气，该指标视为合格；出现1次及以上的，该指标视为不合格。</w:t>
      </w:r>
    </w:p>
    <w:p w14:paraId="26346CBD">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Fonts w:hint="eastAsia" w:ascii="楷体_GB2312" w:hAnsi="Times New Roman" w:eastAsia="楷体_GB2312" w:cs="Times New Roman"/>
          <w:b/>
          <w:color w:val="auto"/>
          <w:kern w:val="0"/>
          <w:sz w:val="32"/>
          <w:szCs w:val="32"/>
          <w:lang w:val="en-US" w:eastAsia="zh-CN"/>
        </w:rPr>
      </w:pPr>
      <w:r>
        <w:rPr>
          <w:rFonts w:hint="eastAsia" w:ascii="楷体_GB2312" w:hAnsi="Times New Roman" w:eastAsia="楷体_GB2312" w:cs="Times New Roman"/>
          <w:b/>
          <w:color w:val="auto"/>
          <w:kern w:val="0"/>
          <w:sz w:val="32"/>
          <w:szCs w:val="32"/>
          <w:lang w:val="en-US" w:eastAsia="zh-CN"/>
        </w:rPr>
        <w:t>（三）评估数据来源</w:t>
      </w:r>
    </w:p>
    <w:p w14:paraId="46137177">
      <w:pPr>
        <w:keepNext w:val="0"/>
        <w:keepLines w:val="0"/>
        <w:pageBreakBefore w:val="0"/>
        <w:widowControl/>
        <w:numPr>
          <w:ilvl w:val="0"/>
          <w:numId w:val="0"/>
        </w:numPr>
        <w:wordWrap/>
        <w:overflowPunct/>
        <w:topLinePunct w:val="0"/>
        <w:bidi w:val="0"/>
        <w:spacing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农业农村、生态环境等相关部门。</w:t>
      </w:r>
    </w:p>
    <w:p w14:paraId="7B93A65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hint="eastAsia" w:ascii="黑体" w:hAnsi="Times New Roman" w:eastAsia="黑体" w:cs="Times New Roman"/>
          <w:color w:val="auto"/>
          <w:kern w:val="0"/>
          <w:sz w:val="32"/>
          <w:szCs w:val="32"/>
          <w:lang w:val="en-US" w:eastAsia="zh-CN"/>
        </w:rPr>
      </w:pPr>
      <w:r>
        <w:rPr>
          <w:rFonts w:hint="eastAsia" w:ascii="黑体" w:hAnsi="Times New Roman" w:eastAsia="黑体" w:cs="Times New Roman"/>
          <w:color w:val="auto"/>
          <w:kern w:val="0"/>
          <w:sz w:val="32"/>
          <w:szCs w:val="32"/>
          <w:lang w:val="en-US" w:eastAsia="zh-CN"/>
        </w:rPr>
        <w:t>十二、尾菜处理利用率</w:t>
      </w:r>
    </w:p>
    <w:p w14:paraId="570855CA">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Fonts w:hint="eastAsia" w:ascii="楷体_GB2312" w:hAnsi="Times New Roman" w:eastAsia="楷体_GB2312" w:cs="Times New Roman"/>
          <w:b/>
          <w:color w:val="auto"/>
          <w:kern w:val="0"/>
          <w:sz w:val="32"/>
          <w:szCs w:val="32"/>
          <w:lang w:val="en-US" w:eastAsia="zh-CN"/>
        </w:rPr>
      </w:pPr>
      <w:r>
        <w:rPr>
          <w:rFonts w:hint="eastAsia" w:ascii="楷体_GB2312" w:hAnsi="Times New Roman" w:eastAsia="楷体_GB2312" w:cs="Times New Roman"/>
          <w:b/>
          <w:color w:val="auto"/>
          <w:kern w:val="0"/>
          <w:sz w:val="32"/>
          <w:szCs w:val="32"/>
          <w:lang w:val="en-US" w:eastAsia="zh-CN"/>
        </w:rPr>
        <w:t>（一）指标要求</w:t>
      </w:r>
    </w:p>
    <w:p w14:paraId="287BAEEA">
      <w:pPr>
        <w:keepNext w:val="0"/>
        <w:keepLines w:val="0"/>
        <w:pageBreakBefore w:val="0"/>
        <w:widowControl/>
        <w:numPr>
          <w:ilvl w:val="0"/>
          <w:numId w:val="0"/>
        </w:numPr>
        <w:wordWrap/>
        <w:overflowPunct/>
        <w:topLinePunct w:val="0"/>
        <w:bidi w:val="0"/>
        <w:spacing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2027年尾菜处理利用率达到60%以上，2035年尾菜处理利用率达到75%以上。</w:t>
      </w:r>
    </w:p>
    <w:p w14:paraId="4D1AF95B">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Fonts w:hint="eastAsia" w:ascii="楷体_GB2312" w:hAnsi="Times New Roman" w:eastAsia="楷体_GB2312" w:cs="Times New Roman"/>
          <w:b/>
          <w:color w:val="auto"/>
          <w:kern w:val="0"/>
          <w:sz w:val="32"/>
          <w:szCs w:val="32"/>
          <w:lang w:val="en-US" w:eastAsia="zh-CN"/>
        </w:rPr>
      </w:pPr>
      <w:r>
        <w:rPr>
          <w:rFonts w:hint="eastAsia" w:ascii="楷体_GB2312" w:hAnsi="Times New Roman" w:eastAsia="楷体_GB2312" w:cs="Times New Roman"/>
          <w:b/>
          <w:color w:val="auto"/>
          <w:kern w:val="0"/>
          <w:sz w:val="32"/>
          <w:szCs w:val="32"/>
          <w:lang w:val="en-US" w:eastAsia="zh-CN"/>
        </w:rPr>
        <w:t>（二）指标解释</w:t>
      </w:r>
    </w:p>
    <w:p w14:paraId="18F56D5C">
      <w:pPr>
        <w:keepNext w:val="0"/>
        <w:keepLines w:val="0"/>
        <w:pageBreakBefore w:val="0"/>
        <w:widowControl/>
        <w:numPr>
          <w:ilvl w:val="0"/>
          <w:numId w:val="0"/>
        </w:numPr>
        <w:wordWrap/>
        <w:overflowPunct/>
        <w:topLinePunct w:val="0"/>
        <w:bidi w:val="0"/>
        <w:spacing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尾菜处理利用率指尾菜处理利用量占尾菜生产量的比例。其中，尾菜产生量指蔬菜生产、流通、消费等环节产生的尾菜总量；尾菜处理利用量指将尾菜通过肥料化、饲料化、沼气化等方式处理或利用的量。</w:t>
      </w:r>
    </w:p>
    <w:p w14:paraId="06726051">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Fonts w:hint="eastAsia" w:ascii="楷体_GB2312" w:hAnsi="Times New Roman" w:eastAsia="楷体_GB2312" w:cs="Times New Roman"/>
          <w:b/>
          <w:color w:val="auto"/>
          <w:kern w:val="0"/>
          <w:sz w:val="32"/>
          <w:szCs w:val="32"/>
          <w:lang w:val="en-US" w:eastAsia="zh-CN"/>
        </w:rPr>
      </w:pPr>
      <w:r>
        <w:rPr>
          <w:rFonts w:hint="eastAsia" w:ascii="楷体_GB2312" w:hAnsi="Times New Roman" w:eastAsia="楷体_GB2312" w:cs="Times New Roman"/>
          <w:b/>
          <w:color w:val="auto"/>
          <w:kern w:val="0"/>
          <w:sz w:val="32"/>
          <w:szCs w:val="32"/>
          <w:lang w:val="en-US" w:eastAsia="zh-CN"/>
        </w:rPr>
        <w:t>（三）评估数据来源</w:t>
      </w:r>
    </w:p>
    <w:p w14:paraId="4611D58A">
      <w:pPr>
        <w:keepNext w:val="0"/>
        <w:keepLines w:val="0"/>
        <w:pageBreakBefore w:val="0"/>
        <w:widowControl/>
        <w:numPr>
          <w:ilvl w:val="0"/>
          <w:numId w:val="0"/>
        </w:numPr>
        <w:wordWrap/>
        <w:overflowPunct/>
        <w:topLinePunct w:val="0"/>
        <w:bidi w:val="0"/>
        <w:spacing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农业农村等相关部门。</w:t>
      </w:r>
    </w:p>
    <w:p w14:paraId="4DD1D85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hint="eastAsia" w:ascii="黑体" w:hAnsi="Times New Roman" w:eastAsia="黑体" w:cs="Times New Roman"/>
          <w:color w:val="auto"/>
          <w:kern w:val="0"/>
          <w:sz w:val="32"/>
          <w:szCs w:val="32"/>
          <w:lang w:val="en-US" w:eastAsia="zh-CN"/>
        </w:rPr>
      </w:pPr>
      <w:r>
        <w:rPr>
          <w:rFonts w:hint="eastAsia" w:ascii="黑体" w:hAnsi="Times New Roman" w:eastAsia="黑体" w:cs="Times New Roman"/>
          <w:color w:val="auto"/>
          <w:kern w:val="0"/>
          <w:sz w:val="32"/>
          <w:szCs w:val="32"/>
          <w:lang w:val="en-US" w:eastAsia="zh-CN"/>
        </w:rPr>
        <w:t>十三、乡村形态</w:t>
      </w:r>
    </w:p>
    <w:p w14:paraId="68B83337">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Fonts w:hint="eastAsia" w:ascii="楷体_GB2312" w:hAnsi="Times New Roman" w:eastAsia="楷体_GB2312" w:cs="Times New Roman"/>
          <w:b/>
          <w:color w:val="auto"/>
          <w:kern w:val="0"/>
          <w:sz w:val="32"/>
          <w:szCs w:val="32"/>
          <w:lang w:val="en-US" w:eastAsia="zh-CN"/>
        </w:rPr>
      </w:pPr>
      <w:r>
        <w:rPr>
          <w:rFonts w:hint="eastAsia" w:ascii="楷体_GB2312" w:hAnsi="Times New Roman" w:eastAsia="楷体_GB2312" w:cs="Times New Roman"/>
          <w:b/>
          <w:color w:val="auto"/>
          <w:kern w:val="0"/>
          <w:sz w:val="32"/>
          <w:szCs w:val="32"/>
          <w:lang w:val="en-US" w:eastAsia="zh-CN"/>
        </w:rPr>
        <w:t>（一）指标要求</w:t>
      </w:r>
    </w:p>
    <w:p w14:paraId="2BA2A8BB">
      <w:pPr>
        <w:keepNext w:val="0"/>
        <w:keepLines w:val="0"/>
        <w:pageBreakBefore w:val="0"/>
        <w:widowControl/>
        <w:numPr>
          <w:ilvl w:val="0"/>
          <w:numId w:val="0"/>
        </w:numPr>
        <w:wordWrap/>
        <w:overflowPunct/>
        <w:topLinePunct w:val="0"/>
        <w:bidi w:val="0"/>
        <w:spacing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集中建设区域实现整洁有序。</w:t>
      </w:r>
    </w:p>
    <w:p w14:paraId="358AD43D">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Fonts w:hint="eastAsia" w:ascii="楷体_GB2312" w:hAnsi="Times New Roman" w:eastAsia="楷体_GB2312" w:cs="Times New Roman"/>
          <w:b/>
          <w:color w:val="auto"/>
          <w:kern w:val="0"/>
          <w:sz w:val="32"/>
          <w:szCs w:val="32"/>
          <w:lang w:val="en-US" w:eastAsia="zh-CN"/>
        </w:rPr>
      </w:pPr>
      <w:r>
        <w:rPr>
          <w:rFonts w:hint="eastAsia" w:ascii="楷体_GB2312" w:hAnsi="Times New Roman" w:eastAsia="楷体_GB2312" w:cs="Times New Roman"/>
          <w:b/>
          <w:color w:val="auto"/>
          <w:kern w:val="0"/>
          <w:sz w:val="32"/>
          <w:szCs w:val="32"/>
          <w:lang w:val="en-US" w:eastAsia="zh-CN"/>
        </w:rPr>
        <w:t>（二）指标解释</w:t>
      </w:r>
    </w:p>
    <w:p w14:paraId="50F9680A">
      <w:pPr>
        <w:keepNext w:val="0"/>
        <w:keepLines w:val="0"/>
        <w:pageBreakBefore w:val="0"/>
        <w:widowControl/>
        <w:numPr>
          <w:ilvl w:val="0"/>
          <w:numId w:val="0"/>
        </w:numPr>
        <w:wordWrap/>
        <w:overflowPunct/>
        <w:topLinePunct w:val="0"/>
        <w:bidi w:val="0"/>
        <w:spacing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集中建设区域环境整洁宜居，建筑布局总体科学合理，与环境统一协调，新建房屋整体展现本地特色风格，存量房屋外墙整洁美观，无影响景观的棚舍、残破或倒塌的墙体，无乱搭乱建，乱埋乱倒现象。</w:t>
      </w:r>
    </w:p>
    <w:p w14:paraId="06F4CA9C">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Fonts w:hint="eastAsia" w:ascii="楷体_GB2312" w:hAnsi="Times New Roman" w:eastAsia="楷体_GB2312" w:cs="Times New Roman"/>
          <w:b/>
          <w:color w:val="auto"/>
          <w:kern w:val="0"/>
          <w:sz w:val="32"/>
          <w:szCs w:val="32"/>
          <w:lang w:val="en-US" w:eastAsia="zh-CN"/>
        </w:rPr>
      </w:pPr>
      <w:r>
        <w:rPr>
          <w:rFonts w:hint="eastAsia" w:ascii="楷体_GB2312" w:hAnsi="Times New Roman" w:eastAsia="楷体_GB2312" w:cs="Times New Roman"/>
          <w:b/>
          <w:color w:val="auto"/>
          <w:kern w:val="0"/>
          <w:sz w:val="32"/>
          <w:szCs w:val="32"/>
          <w:lang w:val="en-US" w:eastAsia="zh-CN"/>
        </w:rPr>
        <w:t>（三）评估数据来源</w:t>
      </w:r>
    </w:p>
    <w:p w14:paraId="3A855A75">
      <w:pPr>
        <w:keepNext w:val="0"/>
        <w:keepLines w:val="0"/>
        <w:pageBreakBefore w:val="0"/>
        <w:widowControl/>
        <w:numPr>
          <w:ilvl w:val="0"/>
          <w:numId w:val="0"/>
        </w:numPr>
        <w:wordWrap/>
        <w:overflowPunct/>
        <w:topLinePunct w:val="0"/>
        <w:bidi w:val="0"/>
        <w:spacing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住建、自然资源、农业农村、生态环境等相关部门。</w:t>
      </w:r>
    </w:p>
    <w:p w14:paraId="62FA623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hint="eastAsia" w:ascii="黑体" w:hAnsi="Times New Roman" w:eastAsia="黑体" w:cs="Times New Roman"/>
          <w:color w:val="auto"/>
          <w:kern w:val="0"/>
          <w:sz w:val="32"/>
          <w:szCs w:val="32"/>
          <w:lang w:val="en-US" w:eastAsia="zh-CN"/>
        </w:rPr>
      </w:pPr>
      <w:r>
        <w:rPr>
          <w:rFonts w:hint="eastAsia" w:ascii="黑体" w:hAnsi="Times New Roman" w:eastAsia="黑体" w:cs="Times New Roman"/>
          <w:color w:val="auto"/>
          <w:kern w:val="0"/>
          <w:sz w:val="32"/>
          <w:szCs w:val="32"/>
          <w:lang w:val="en-US" w:eastAsia="zh-CN"/>
        </w:rPr>
        <w:t>十四、乡风建设</w:t>
      </w:r>
    </w:p>
    <w:p w14:paraId="3FA871A3">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Fonts w:hint="default" w:ascii="楷体_GB2312" w:hAnsi="Times New Roman" w:eastAsia="楷体_GB2312" w:cs="Times New Roman"/>
          <w:b/>
          <w:color w:val="auto"/>
          <w:kern w:val="0"/>
          <w:sz w:val="32"/>
          <w:szCs w:val="32"/>
          <w:lang w:val="en-US" w:eastAsia="zh-CN"/>
        </w:rPr>
      </w:pPr>
      <w:r>
        <w:rPr>
          <w:rFonts w:hint="eastAsia" w:ascii="楷体_GB2312" w:hAnsi="Times New Roman" w:eastAsia="楷体_GB2312" w:cs="Times New Roman"/>
          <w:b/>
          <w:color w:val="auto"/>
          <w:kern w:val="0"/>
          <w:sz w:val="32"/>
          <w:szCs w:val="32"/>
          <w:lang w:val="en-US" w:eastAsia="zh-CN"/>
        </w:rPr>
        <w:t>（一）指标要求</w:t>
      </w:r>
    </w:p>
    <w:p w14:paraId="1C5A139C">
      <w:pPr>
        <w:keepNext w:val="0"/>
        <w:keepLines w:val="0"/>
        <w:pageBreakBefore w:val="0"/>
        <w:widowControl/>
        <w:numPr>
          <w:ilvl w:val="0"/>
          <w:numId w:val="0"/>
        </w:numPr>
        <w:wordWrap/>
        <w:overflowPunct/>
        <w:topLinePunct w:val="0"/>
        <w:bidi w:val="0"/>
        <w:spacing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没有重大负面舆情。</w:t>
      </w:r>
    </w:p>
    <w:p w14:paraId="01F14843">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Fonts w:hint="eastAsia" w:ascii="楷体_GB2312" w:hAnsi="Times New Roman" w:eastAsia="楷体_GB2312" w:cs="Times New Roman"/>
          <w:b/>
          <w:color w:val="auto"/>
          <w:kern w:val="0"/>
          <w:sz w:val="32"/>
          <w:szCs w:val="32"/>
          <w:lang w:val="en-US" w:eastAsia="zh-CN"/>
        </w:rPr>
      </w:pPr>
      <w:r>
        <w:rPr>
          <w:rFonts w:hint="eastAsia" w:ascii="楷体_GB2312" w:hAnsi="Times New Roman" w:eastAsia="楷体_GB2312" w:cs="Times New Roman"/>
          <w:b/>
          <w:color w:val="auto"/>
          <w:kern w:val="0"/>
          <w:sz w:val="32"/>
          <w:szCs w:val="32"/>
          <w:lang w:val="en-US" w:eastAsia="zh-CN"/>
        </w:rPr>
        <w:t>（二）指标解释</w:t>
      </w:r>
    </w:p>
    <w:p w14:paraId="3B2BE780">
      <w:pPr>
        <w:keepNext w:val="0"/>
        <w:keepLines w:val="0"/>
        <w:pageBreakBefore w:val="0"/>
        <w:widowControl/>
        <w:numPr>
          <w:ilvl w:val="0"/>
          <w:numId w:val="0"/>
        </w:numPr>
        <w:wordWrap/>
        <w:overflowPunct/>
        <w:topLinePunct w:val="0"/>
        <w:bidi w:val="0"/>
        <w:spacing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没有发生较大社会影响的农村环境相关负面舆情。</w:t>
      </w:r>
    </w:p>
    <w:p w14:paraId="56A55323">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Fonts w:hint="eastAsia" w:ascii="楷体_GB2312" w:hAnsi="Times New Roman" w:eastAsia="楷体_GB2312" w:cs="Times New Roman"/>
          <w:b/>
          <w:color w:val="auto"/>
          <w:kern w:val="0"/>
          <w:sz w:val="32"/>
          <w:szCs w:val="32"/>
          <w:lang w:val="en-US" w:eastAsia="zh-CN"/>
        </w:rPr>
      </w:pPr>
      <w:r>
        <w:rPr>
          <w:rFonts w:hint="eastAsia" w:ascii="楷体_GB2312" w:hAnsi="Times New Roman" w:eastAsia="楷体_GB2312" w:cs="Times New Roman"/>
          <w:b/>
          <w:color w:val="auto"/>
          <w:kern w:val="0"/>
          <w:sz w:val="32"/>
          <w:szCs w:val="32"/>
          <w:lang w:val="en-US" w:eastAsia="zh-CN"/>
        </w:rPr>
        <w:t>（三）评估数据来源</w:t>
      </w:r>
    </w:p>
    <w:p w14:paraId="2131E4EA">
      <w:pPr>
        <w:keepNext w:val="0"/>
        <w:keepLines w:val="0"/>
        <w:pageBreakBefore w:val="0"/>
        <w:widowControl/>
        <w:numPr>
          <w:ilvl w:val="0"/>
          <w:numId w:val="0"/>
        </w:numPr>
        <w:wordWrap/>
        <w:overflowPunct/>
        <w:topLinePunct w:val="0"/>
        <w:bidi w:val="0"/>
        <w:spacing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生态环境、农业农村、住建等相关部门。</w:t>
      </w:r>
    </w:p>
    <w:p w14:paraId="1274310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hint="eastAsia" w:ascii="黑体" w:hAnsi="Times New Roman" w:eastAsia="黑体" w:cs="Times New Roman"/>
          <w:color w:val="auto"/>
          <w:kern w:val="0"/>
          <w:sz w:val="32"/>
          <w:szCs w:val="32"/>
          <w:lang w:val="en-US" w:eastAsia="zh-CN"/>
        </w:rPr>
      </w:pPr>
      <w:r>
        <w:rPr>
          <w:rFonts w:hint="eastAsia" w:ascii="黑体" w:hAnsi="Times New Roman" w:eastAsia="黑体" w:cs="Times New Roman"/>
          <w:color w:val="auto"/>
          <w:kern w:val="0"/>
          <w:sz w:val="32"/>
          <w:szCs w:val="32"/>
          <w:lang w:val="en-US" w:eastAsia="zh-CN"/>
        </w:rPr>
        <w:t>十五、农村居民对美丽乡村建设成效满意程度</w:t>
      </w:r>
    </w:p>
    <w:p w14:paraId="6898A23F">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Fonts w:hint="eastAsia" w:ascii="楷体_GB2312" w:hAnsi="Times New Roman" w:eastAsia="楷体_GB2312" w:cs="Times New Roman"/>
          <w:b/>
          <w:color w:val="auto"/>
          <w:kern w:val="0"/>
          <w:sz w:val="32"/>
          <w:szCs w:val="32"/>
          <w:lang w:val="en-US" w:eastAsia="zh-CN"/>
        </w:rPr>
      </w:pPr>
      <w:r>
        <w:rPr>
          <w:rFonts w:hint="eastAsia" w:ascii="楷体_GB2312" w:hAnsi="Times New Roman" w:eastAsia="楷体_GB2312" w:cs="Times New Roman"/>
          <w:b/>
          <w:color w:val="auto"/>
          <w:kern w:val="0"/>
          <w:sz w:val="32"/>
          <w:szCs w:val="32"/>
          <w:lang w:val="en-US" w:eastAsia="zh-CN"/>
        </w:rPr>
        <w:t>（一）指标要求</w:t>
      </w:r>
    </w:p>
    <w:p w14:paraId="4E5C0DF4">
      <w:pPr>
        <w:keepNext w:val="0"/>
        <w:keepLines w:val="0"/>
        <w:pageBreakBefore w:val="0"/>
        <w:widowControl/>
        <w:numPr>
          <w:ilvl w:val="0"/>
          <w:numId w:val="0"/>
        </w:numPr>
        <w:wordWrap/>
        <w:overflowPunct/>
        <w:topLinePunct w:val="0"/>
        <w:bidi w:val="0"/>
        <w:spacing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农村居民对美丽乡村建设成效满意度</w:t>
      </w:r>
      <w:r>
        <w:rPr>
          <w:rFonts w:hint="eastAsia" w:ascii="仿宋_GB2312" w:hAnsi="仿宋_GB2312" w:eastAsia="仿宋_GB2312" w:cs="仿宋_GB2312"/>
          <w:snapToGrid w:val="0"/>
          <w:color w:val="auto"/>
          <w:kern w:val="0"/>
          <w:sz w:val="24"/>
          <w:szCs w:val="24"/>
          <w:highlight w:val="none"/>
          <w:lang w:val="en-US" w:eastAsia="zh-CN" w:bidi="ar"/>
        </w:rPr>
        <w:t>≥</w:t>
      </w:r>
      <w:r>
        <w:rPr>
          <w:rFonts w:hint="eastAsia" w:ascii="仿宋_GB2312" w:hAnsi="仿宋_GB2312" w:eastAsia="仿宋_GB2312" w:cs="仿宋_GB2312"/>
          <w:color w:val="auto"/>
          <w:sz w:val="32"/>
          <w:szCs w:val="32"/>
          <w:lang w:val="en-US" w:eastAsia="zh-CN"/>
        </w:rPr>
        <w:t>90%。</w:t>
      </w:r>
    </w:p>
    <w:p w14:paraId="1E802BB4">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Fonts w:hint="eastAsia" w:ascii="楷体_GB2312" w:hAnsi="Times New Roman" w:eastAsia="楷体_GB2312" w:cs="Times New Roman"/>
          <w:b/>
          <w:color w:val="auto"/>
          <w:kern w:val="0"/>
          <w:sz w:val="32"/>
          <w:szCs w:val="32"/>
          <w:lang w:val="en-US" w:eastAsia="zh-CN"/>
        </w:rPr>
      </w:pPr>
      <w:r>
        <w:rPr>
          <w:rFonts w:hint="eastAsia" w:ascii="楷体_GB2312" w:hAnsi="Times New Roman" w:eastAsia="楷体_GB2312" w:cs="Times New Roman"/>
          <w:b/>
          <w:color w:val="auto"/>
          <w:kern w:val="0"/>
          <w:sz w:val="32"/>
          <w:szCs w:val="32"/>
          <w:lang w:val="en-US" w:eastAsia="zh-CN"/>
        </w:rPr>
        <w:t>（二）指标解释</w:t>
      </w:r>
    </w:p>
    <w:p w14:paraId="52897B13">
      <w:pPr>
        <w:keepNext w:val="0"/>
        <w:keepLines w:val="0"/>
        <w:pageBreakBefore w:val="0"/>
        <w:widowControl/>
        <w:numPr>
          <w:ilvl w:val="0"/>
          <w:numId w:val="0"/>
        </w:numPr>
        <w:wordWrap/>
        <w:overflowPunct/>
        <w:topLinePunct w:val="0"/>
        <w:bidi w:val="0"/>
        <w:spacing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区域内农村居民对美丽乡村建设成效的满意程度，采用评估工作组现场随机发放问卷与委托独立的权威民意调查机构抽样调查相结合的方式获取，以现场调查与独立调查机构所获取指标值的平均值为最终结果。调查对象应包括不同年龄、不同学历、不同职业人群，充分体现代表性。</w:t>
      </w:r>
    </w:p>
    <w:p w14:paraId="141BAB68">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Fonts w:hint="eastAsia" w:ascii="楷体_GB2312" w:hAnsi="Times New Roman" w:eastAsia="楷体_GB2312" w:cs="Times New Roman"/>
          <w:b/>
          <w:color w:val="auto"/>
          <w:kern w:val="0"/>
          <w:sz w:val="32"/>
          <w:szCs w:val="32"/>
          <w:lang w:val="en-US" w:eastAsia="zh-CN"/>
        </w:rPr>
      </w:pPr>
      <w:r>
        <w:rPr>
          <w:rFonts w:hint="eastAsia" w:ascii="楷体_GB2312" w:hAnsi="Times New Roman" w:eastAsia="楷体_GB2312" w:cs="Times New Roman"/>
          <w:b/>
          <w:color w:val="auto"/>
          <w:kern w:val="0"/>
          <w:sz w:val="32"/>
          <w:szCs w:val="32"/>
          <w:lang w:val="en-US" w:eastAsia="zh-CN"/>
        </w:rPr>
        <w:t>（三）评估数据来源</w:t>
      </w:r>
    </w:p>
    <w:p w14:paraId="5FB1DB49">
      <w:pPr>
        <w:keepNext w:val="0"/>
        <w:keepLines w:val="0"/>
        <w:pageBreakBefore w:val="0"/>
        <w:widowControl/>
        <w:numPr>
          <w:ilvl w:val="0"/>
          <w:numId w:val="0"/>
        </w:numPr>
        <w:wordWrap/>
        <w:overflowPunct/>
        <w:topLinePunct w:val="0"/>
        <w:bidi w:val="0"/>
        <w:spacing w:line="560" w:lineRule="exact"/>
        <w:ind w:firstLine="640" w:firstLineChars="200"/>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生态环境等相关部门</w:t>
      </w:r>
    </w:p>
    <w:p w14:paraId="42B05996">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default" w:ascii="仿宋_GB2312" w:hAnsi="仿宋_GB2312" w:eastAsia="仿宋_GB2312" w:cs="仿宋_GB2312"/>
          <w:color w:val="auto"/>
          <w:sz w:val="32"/>
          <w:szCs w:val="32"/>
          <w:lang w:val="en-US" w:eastAsia="zh-CN"/>
        </w:rPr>
      </w:pPr>
    </w:p>
    <w:p w14:paraId="429D6070">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default" w:ascii="仿宋_GB2312" w:hAnsi="仿宋_GB2312" w:eastAsia="仿宋_GB2312" w:cs="仿宋_GB2312"/>
          <w:color w:val="auto"/>
          <w:sz w:val="32"/>
          <w:szCs w:val="32"/>
          <w:lang w:val="en-US"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0000600000000000000"/>
    <w:charset w:val="86"/>
    <w:family w:val="auto"/>
    <w:pitch w:val="default"/>
    <w:sig w:usb0="800002BF" w:usb1="184F6CF8" w:usb2="00000012" w:usb3="00000000" w:csb0="00160001" w:csb1="1203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21E8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F0A917">
                          <w:pPr>
                            <w:pStyle w:val="6"/>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F0A917">
                    <w:pPr>
                      <w:pStyle w:val="6"/>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FF5975"/>
    <w:rsid w:val="003577A2"/>
    <w:rsid w:val="004B22EA"/>
    <w:rsid w:val="00AA3CEC"/>
    <w:rsid w:val="00AE30B0"/>
    <w:rsid w:val="00BF062B"/>
    <w:rsid w:val="00C823C4"/>
    <w:rsid w:val="01477A84"/>
    <w:rsid w:val="017C6D0A"/>
    <w:rsid w:val="02CD5A6F"/>
    <w:rsid w:val="02E01C47"/>
    <w:rsid w:val="02E64D83"/>
    <w:rsid w:val="03667C72"/>
    <w:rsid w:val="05D47115"/>
    <w:rsid w:val="061B4D44"/>
    <w:rsid w:val="06695AAF"/>
    <w:rsid w:val="06F832D7"/>
    <w:rsid w:val="072365A6"/>
    <w:rsid w:val="07966D78"/>
    <w:rsid w:val="07E15000"/>
    <w:rsid w:val="07F856FB"/>
    <w:rsid w:val="08653F2B"/>
    <w:rsid w:val="08E65ADD"/>
    <w:rsid w:val="08FC4B3E"/>
    <w:rsid w:val="09265ED9"/>
    <w:rsid w:val="09376339"/>
    <w:rsid w:val="096316DD"/>
    <w:rsid w:val="09FB1114"/>
    <w:rsid w:val="0A6842D0"/>
    <w:rsid w:val="0A740EC6"/>
    <w:rsid w:val="0AAA2B3A"/>
    <w:rsid w:val="0ABB4D47"/>
    <w:rsid w:val="0ABF65E6"/>
    <w:rsid w:val="0AD81455"/>
    <w:rsid w:val="0AFF4C34"/>
    <w:rsid w:val="0B2C17A1"/>
    <w:rsid w:val="0B387D00"/>
    <w:rsid w:val="0B5D195B"/>
    <w:rsid w:val="0B702E53"/>
    <w:rsid w:val="0C2D3A23"/>
    <w:rsid w:val="0CF63E15"/>
    <w:rsid w:val="0CFF5975"/>
    <w:rsid w:val="0D5B011C"/>
    <w:rsid w:val="0D6214AA"/>
    <w:rsid w:val="0D800093"/>
    <w:rsid w:val="0D9E55F7"/>
    <w:rsid w:val="0E1A3B33"/>
    <w:rsid w:val="0E252C04"/>
    <w:rsid w:val="0E3A5F83"/>
    <w:rsid w:val="0EA578A0"/>
    <w:rsid w:val="0F841BAC"/>
    <w:rsid w:val="107566FD"/>
    <w:rsid w:val="10A2678D"/>
    <w:rsid w:val="111D5E14"/>
    <w:rsid w:val="11360C84"/>
    <w:rsid w:val="119D6F55"/>
    <w:rsid w:val="11B76268"/>
    <w:rsid w:val="120D428A"/>
    <w:rsid w:val="128D521B"/>
    <w:rsid w:val="12CE6142"/>
    <w:rsid w:val="13896F89"/>
    <w:rsid w:val="13C62793"/>
    <w:rsid w:val="13CE1647"/>
    <w:rsid w:val="145A737F"/>
    <w:rsid w:val="14DA401C"/>
    <w:rsid w:val="14E07884"/>
    <w:rsid w:val="15051099"/>
    <w:rsid w:val="153E0A4F"/>
    <w:rsid w:val="15691ECC"/>
    <w:rsid w:val="157C7F80"/>
    <w:rsid w:val="16A448E1"/>
    <w:rsid w:val="176D1177"/>
    <w:rsid w:val="184719C8"/>
    <w:rsid w:val="198527A8"/>
    <w:rsid w:val="1A7D44BD"/>
    <w:rsid w:val="1A943AA6"/>
    <w:rsid w:val="1B3F1CD3"/>
    <w:rsid w:val="1B416A2C"/>
    <w:rsid w:val="1C0F4EF3"/>
    <w:rsid w:val="1CA76EDA"/>
    <w:rsid w:val="1D0B7468"/>
    <w:rsid w:val="1D2C2E32"/>
    <w:rsid w:val="1D3C65CC"/>
    <w:rsid w:val="1DA358F3"/>
    <w:rsid w:val="1DF61E7C"/>
    <w:rsid w:val="1FAF1738"/>
    <w:rsid w:val="2007660D"/>
    <w:rsid w:val="202D1DEC"/>
    <w:rsid w:val="204213F3"/>
    <w:rsid w:val="21C87520"/>
    <w:rsid w:val="21F77336"/>
    <w:rsid w:val="223A41EF"/>
    <w:rsid w:val="225C2514"/>
    <w:rsid w:val="22B311F1"/>
    <w:rsid w:val="239A1546"/>
    <w:rsid w:val="23AB72AF"/>
    <w:rsid w:val="24BA4B4F"/>
    <w:rsid w:val="2536529E"/>
    <w:rsid w:val="25C970BA"/>
    <w:rsid w:val="266D1C3F"/>
    <w:rsid w:val="2702368A"/>
    <w:rsid w:val="27103837"/>
    <w:rsid w:val="279A1B15"/>
    <w:rsid w:val="27EB2370"/>
    <w:rsid w:val="2827581B"/>
    <w:rsid w:val="29C94933"/>
    <w:rsid w:val="29EC0622"/>
    <w:rsid w:val="29F91468"/>
    <w:rsid w:val="2A3049B2"/>
    <w:rsid w:val="2ABD45AE"/>
    <w:rsid w:val="2B033E75"/>
    <w:rsid w:val="2B8F5708"/>
    <w:rsid w:val="2BF11F1F"/>
    <w:rsid w:val="2C2A74DF"/>
    <w:rsid w:val="2CAD4098"/>
    <w:rsid w:val="2CD23AFF"/>
    <w:rsid w:val="2DEF248E"/>
    <w:rsid w:val="2E382087"/>
    <w:rsid w:val="2E5A1FFE"/>
    <w:rsid w:val="2F0504BC"/>
    <w:rsid w:val="2F215C3C"/>
    <w:rsid w:val="2F697F69"/>
    <w:rsid w:val="2FEC137B"/>
    <w:rsid w:val="301D1535"/>
    <w:rsid w:val="30201025"/>
    <w:rsid w:val="30403475"/>
    <w:rsid w:val="31532D34"/>
    <w:rsid w:val="31C81974"/>
    <w:rsid w:val="31FB3AF8"/>
    <w:rsid w:val="33193971"/>
    <w:rsid w:val="331F7372"/>
    <w:rsid w:val="33902E94"/>
    <w:rsid w:val="340B78F6"/>
    <w:rsid w:val="351F18AB"/>
    <w:rsid w:val="35470E02"/>
    <w:rsid w:val="36941E25"/>
    <w:rsid w:val="37781747"/>
    <w:rsid w:val="378258AD"/>
    <w:rsid w:val="3790083E"/>
    <w:rsid w:val="37A12C32"/>
    <w:rsid w:val="37F9714E"/>
    <w:rsid w:val="37FA215C"/>
    <w:rsid w:val="38206066"/>
    <w:rsid w:val="38481119"/>
    <w:rsid w:val="39557F91"/>
    <w:rsid w:val="39F552D0"/>
    <w:rsid w:val="3A0D261A"/>
    <w:rsid w:val="3A305A80"/>
    <w:rsid w:val="3A914FF9"/>
    <w:rsid w:val="3AB40CE8"/>
    <w:rsid w:val="3AC60660"/>
    <w:rsid w:val="3AF86E26"/>
    <w:rsid w:val="3C8C1F1C"/>
    <w:rsid w:val="3D6D5435"/>
    <w:rsid w:val="3E5E3444"/>
    <w:rsid w:val="3E7964D0"/>
    <w:rsid w:val="3F3D74FE"/>
    <w:rsid w:val="3F817A16"/>
    <w:rsid w:val="3FCA4B09"/>
    <w:rsid w:val="40380C20"/>
    <w:rsid w:val="40642868"/>
    <w:rsid w:val="406754CF"/>
    <w:rsid w:val="41120516"/>
    <w:rsid w:val="41265D6F"/>
    <w:rsid w:val="4262727B"/>
    <w:rsid w:val="43095949"/>
    <w:rsid w:val="435E3EE6"/>
    <w:rsid w:val="438A680A"/>
    <w:rsid w:val="438C0A54"/>
    <w:rsid w:val="443A225E"/>
    <w:rsid w:val="444C3D3F"/>
    <w:rsid w:val="445A2900"/>
    <w:rsid w:val="451F76A5"/>
    <w:rsid w:val="4574179F"/>
    <w:rsid w:val="45F96148"/>
    <w:rsid w:val="46963997"/>
    <w:rsid w:val="46BA7686"/>
    <w:rsid w:val="479369E5"/>
    <w:rsid w:val="482A25E9"/>
    <w:rsid w:val="48CF3207"/>
    <w:rsid w:val="490479F9"/>
    <w:rsid w:val="495B1C3F"/>
    <w:rsid w:val="4A176B9D"/>
    <w:rsid w:val="4BD10B6C"/>
    <w:rsid w:val="4CC044DD"/>
    <w:rsid w:val="4DD0543A"/>
    <w:rsid w:val="4DD059E1"/>
    <w:rsid w:val="4DE82D2A"/>
    <w:rsid w:val="4E3715BC"/>
    <w:rsid w:val="4E426377"/>
    <w:rsid w:val="4E9B7D9D"/>
    <w:rsid w:val="4FBA5296"/>
    <w:rsid w:val="503404A9"/>
    <w:rsid w:val="50830AE8"/>
    <w:rsid w:val="514E10F6"/>
    <w:rsid w:val="51F85506"/>
    <w:rsid w:val="521045FE"/>
    <w:rsid w:val="52C27FEE"/>
    <w:rsid w:val="532E7431"/>
    <w:rsid w:val="533429F6"/>
    <w:rsid w:val="534F30E8"/>
    <w:rsid w:val="53825066"/>
    <w:rsid w:val="53B65679"/>
    <w:rsid w:val="54181E8F"/>
    <w:rsid w:val="541C54DC"/>
    <w:rsid w:val="54AA0D3A"/>
    <w:rsid w:val="565A053D"/>
    <w:rsid w:val="56D55E16"/>
    <w:rsid w:val="56E61DD1"/>
    <w:rsid w:val="57BE4AFC"/>
    <w:rsid w:val="57D367F9"/>
    <w:rsid w:val="582726A1"/>
    <w:rsid w:val="5846521D"/>
    <w:rsid w:val="58634188"/>
    <w:rsid w:val="59505C28"/>
    <w:rsid w:val="5958404C"/>
    <w:rsid w:val="596A0A97"/>
    <w:rsid w:val="59A26483"/>
    <w:rsid w:val="5A0D52E0"/>
    <w:rsid w:val="5A2C21F1"/>
    <w:rsid w:val="5A9C7376"/>
    <w:rsid w:val="5AA955EF"/>
    <w:rsid w:val="5AD36B10"/>
    <w:rsid w:val="5B631C42"/>
    <w:rsid w:val="5B9C643C"/>
    <w:rsid w:val="5BD35CA1"/>
    <w:rsid w:val="5C797243"/>
    <w:rsid w:val="5C7D4F86"/>
    <w:rsid w:val="5D1C02FB"/>
    <w:rsid w:val="5D806FB9"/>
    <w:rsid w:val="5E086AD1"/>
    <w:rsid w:val="5EB70186"/>
    <w:rsid w:val="5ECE7D1A"/>
    <w:rsid w:val="5F100263"/>
    <w:rsid w:val="5F221E14"/>
    <w:rsid w:val="5F9A7BFD"/>
    <w:rsid w:val="602D281F"/>
    <w:rsid w:val="60403058"/>
    <w:rsid w:val="60471B32"/>
    <w:rsid w:val="60525479"/>
    <w:rsid w:val="606F2E37"/>
    <w:rsid w:val="60716BAF"/>
    <w:rsid w:val="6098238E"/>
    <w:rsid w:val="60EE1FAE"/>
    <w:rsid w:val="6198016C"/>
    <w:rsid w:val="61C3168D"/>
    <w:rsid w:val="624D0F56"/>
    <w:rsid w:val="63220635"/>
    <w:rsid w:val="632779F9"/>
    <w:rsid w:val="634B7B8C"/>
    <w:rsid w:val="64BA4281"/>
    <w:rsid w:val="64DA50F8"/>
    <w:rsid w:val="659155FE"/>
    <w:rsid w:val="65BB267B"/>
    <w:rsid w:val="661E5107"/>
    <w:rsid w:val="66EA76BB"/>
    <w:rsid w:val="67177D85"/>
    <w:rsid w:val="671A4DC2"/>
    <w:rsid w:val="671B1623"/>
    <w:rsid w:val="67E22141"/>
    <w:rsid w:val="681D761D"/>
    <w:rsid w:val="683E7CBF"/>
    <w:rsid w:val="685079F2"/>
    <w:rsid w:val="689478DF"/>
    <w:rsid w:val="68B47F81"/>
    <w:rsid w:val="68C1269E"/>
    <w:rsid w:val="68E31D87"/>
    <w:rsid w:val="68EE66D9"/>
    <w:rsid w:val="69004F74"/>
    <w:rsid w:val="69425262"/>
    <w:rsid w:val="699A7177"/>
    <w:rsid w:val="69CC21E8"/>
    <w:rsid w:val="6A4E1D0F"/>
    <w:rsid w:val="6A6253DB"/>
    <w:rsid w:val="6A7259FE"/>
    <w:rsid w:val="6B6C3A0D"/>
    <w:rsid w:val="6B6C4644"/>
    <w:rsid w:val="6BAE0CB8"/>
    <w:rsid w:val="6C2471CC"/>
    <w:rsid w:val="6C313697"/>
    <w:rsid w:val="6CB467A2"/>
    <w:rsid w:val="6CCB2419"/>
    <w:rsid w:val="6D125276"/>
    <w:rsid w:val="6D4D4500"/>
    <w:rsid w:val="6D8A6AC0"/>
    <w:rsid w:val="6DD10C8D"/>
    <w:rsid w:val="6E05302D"/>
    <w:rsid w:val="6E1B45FE"/>
    <w:rsid w:val="6F83245B"/>
    <w:rsid w:val="70496352"/>
    <w:rsid w:val="70514307"/>
    <w:rsid w:val="70650EF5"/>
    <w:rsid w:val="711A294B"/>
    <w:rsid w:val="7137174F"/>
    <w:rsid w:val="713A2FED"/>
    <w:rsid w:val="716A5681"/>
    <w:rsid w:val="716B764B"/>
    <w:rsid w:val="719C7804"/>
    <w:rsid w:val="71FB452B"/>
    <w:rsid w:val="72281098"/>
    <w:rsid w:val="729A1F96"/>
    <w:rsid w:val="72D96708"/>
    <w:rsid w:val="73C53042"/>
    <w:rsid w:val="74890514"/>
    <w:rsid w:val="74A215D5"/>
    <w:rsid w:val="760F4A49"/>
    <w:rsid w:val="76596A1F"/>
    <w:rsid w:val="767B3A35"/>
    <w:rsid w:val="7693567A"/>
    <w:rsid w:val="76B92C06"/>
    <w:rsid w:val="7702635B"/>
    <w:rsid w:val="772E7150"/>
    <w:rsid w:val="77414F47"/>
    <w:rsid w:val="77517F24"/>
    <w:rsid w:val="77860D3A"/>
    <w:rsid w:val="77FC0FFD"/>
    <w:rsid w:val="783612DB"/>
    <w:rsid w:val="786170B2"/>
    <w:rsid w:val="78785360"/>
    <w:rsid w:val="78941235"/>
    <w:rsid w:val="78D15FE5"/>
    <w:rsid w:val="79133C51"/>
    <w:rsid w:val="7973709D"/>
    <w:rsid w:val="79805ABB"/>
    <w:rsid w:val="79C21DD2"/>
    <w:rsid w:val="79D14874"/>
    <w:rsid w:val="79E166FC"/>
    <w:rsid w:val="7A9C2623"/>
    <w:rsid w:val="7AD968AF"/>
    <w:rsid w:val="7AE75F94"/>
    <w:rsid w:val="7B0D52CF"/>
    <w:rsid w:val="7B302ED7"/>
    <w:rsid w:val="7BF5023D"/>
    <w:rsid w:val="7C7D2C09"/>
    <w:rsid w:val="7CAB2FF1"/>
    <w:rsid w:val="7D60202E"/>
    <w:rsid w:val="7D641B1E"/>
    <w:rsid w:val="7D6733BC"/>
    <w:rsid w:val="7D7D673C"/>
    <w:rsid w:val="7E0E55E6"/>
    <w:rsid w:val="7E12157A"/>
    <w:rsid w:val="7F171D7E"/>
    <w:rsid w:val="7F5B485B"/>
    <w:rsid w:val="7F69341C"/>
    <w:rsid w:val="7F8518D8"/>
    <w:rsid w:val="7FB12D79"/>
    <w:rsid w:val="7FBA3C77"/>
    <w:rsid w:val="7FC05006"/>
    <w:rsid w:val="7FF35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6"/>
    <w:basedOn w:val="1"/>
    <w:next w:val="1"/>
    <w:qFormat/>
    <w:uiPriority w:val="0"/>
    <w:pPr>
      <w:keepNext/>
      <w:keepLines/>
      <w:overflowPunct w:val="0"/>
      <w:autoSpaceDE w:val="0"/>
      <w:autoSpaceDN w:val="0"/>
      <w:adjustRightInd w:val="0"/>
      <w:spacing w:before="240" w:after="64" w:line="320" w:lineRule="auto"/>
      <w:ind w:firstLine="200" w:firstLineChars="200"/>
      <w:textAlignment w:val="baseline"/>
      <w:outlineLvl w:val="5"/>
    </w:pPr>
    <w:rPr>
      <w:b/>
      <w:kern w:val="0"/>
      <w:sz w:val="24"/>
      <w:szCs w:val="20"/>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index 6"/>
    <w:basedOn w:val="1"/>
    <w:next w:val="1"/>
    <w:unhideWhenUsed/>
    <w:qFormat/>
    <w:uiPriority w:val="99"/>
    <w:pPr>
      <w:widowControl w:val="0"/>
      <w:ind w:firstLine="440" w:firstLineChars="200"/>
      <w:jc w:val="both"/>
    </w:pPr>
    <w:rPr>
      <w:rFonts w:hint="default" w:ascii="Times New Roman" w:hAnsi="Times New Roman" w:eastAsia="宋体" w:cs="Times New Roman"/>
      <w:kern w:val="2"/>
      <w:sz w:val="22"/>
      <w:szCs w:val="24"/>
      <w:lang w:val="en-US" w:eastAsia="zh-CN" w:bidi="ar-SA"/>
    </w:rPr>
  </w:style>
  <w:style w:type="paragraph" w:styleId="5">
    <w:name w:val="Body Text"/>
    <w:basedOn w:val="1"/>
    <w:semiHidden/>
    <w:qFormat/>
    <w:uiPriority w:val="0"/>
    <w:rPr>
      <w:rFonts w:ascii="仿宋" w:hAnsi="仿宋" w:eastAsia="仿宋" w:cs="仿宋"/>
      <w:sz w:val="32"/>
      <w:szCs w:val="32"/>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9050</Words>
  <Characters>9348</Characters>
  <Lines>0</Lines>
  <Paragraphs>0</Paragraphs>
  <TotalTime>81</TotalTime>
  <ScaleCrop>false</ScaleCrop>
  <LinksUpToDate>false</LinksUpToDate>
  <CharactersWithSpaces>9371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2026-01-28T02:59:00Z</dcterms:created>
  <dc:creator>千薰羽</dc:creator>
  <cp:lastModifiedBy>Administrator</cp:lastModifiedBy>
  <cp:lastPrinted>2026-04-03T09:39:00Z</cp:lastPrinted>
  <dcterms:modified xsi:type="dcterms:W3CDTF">2026-04-16T07:22:30Z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155F1C6E64AC4479891A57066E03D349_13</vt:lpwstr>
  </property>
  <property fmtid="{D5CDD505-2E9C-101B-9397-08002B2CF9AE}" pid="4" name="KSOTemplateDocerSaveRecord">
    <vt:lpwstr>eyJoZGlkIjoiNTI4MDM1YjZkMGNmNmEyNjZjY2E4MWIzNmQ1NmNlYTMiLCJ1c2VySWQiOiIxMDgwMjE4NTc5In0=</vt:lpwstr>
  </property>
</Properties>
</file>